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58F39C">
      <w:pPr>
        <w:pStyle w:val="7"/>
        <w:jc w:val="center"/>
        <w:outlineLvl w:val="0"/>
        <w:rPr>
          <w:rFonts w:hint="eastAsia" w:ascii="仿宋" w:hAnsi="仿宋" w:eastAsia="仿宋" w:cs="仿宋"/>
          <w:highlight w:val="none"/>
        </w:rPr>
      </w:pPr>
      <w:bookmarkStart w:id="0" w:name="_Toc27801"/>
      <w:r>
        <w:rPr>
          <w:rFonts w:hint="eastAsia" w:ascii="仿宋" w:hAnsi="仿宋" w:eastAsia="仿宋" w:cs="仿宋"/>
          <w:b/>
          <w:sz w:val="36"/>
          <w:highlight w:val="none"/>
        </w:rPr>
        <w:t>第三章 技术、服务及其他要求</w:t>
      </w:r>
      <w:bookmarkEnd w:id="0"/>
    </w:p>
    <w:p w14:paraId="5A46F729">
      <w:pPr>
        <w:pStyle w:val="7"/>
        <w:ind w:firstLine="480"/>
        <w:jc w:val="left"/>
        <w:rPr>
          <w:rFonts w:hint="eastAsia" w:ascii="仿宋" w:hAnsi="仿宋" w:eastAsia="仿宋" w:cs="仿宋"/>
          <w:highlight w:val="none"/>
        </w:rPr>
      </w:pPr>
      <w:r>
        <w:rPr>
          <w:rFonts w:hint="eastAsia" w:ascii="仿宋" w:hAnsi="仿宋" w:eastAsia="仿宋" w:cs="仿宋"/>
          <w:highlight w:val="none"/>
        </w:rPr>
        <w:t>（注：本章的技术、服务及其他要求中，带“★”的要求为实质性要求</w:t>
      </w:r>
      <w:r>
        <w:rPr>
          <w:rFonts w:hint="eastAsia" w:ascii="仿宋" w:hAnsi="仿宋" w:eastAsia="仿宋" w:cs="仿宋"/>
          <w:highlight w:val="none"/>
          <w:lang w:eastAsia="zh-CN"/>
        </w:rPr>
        <w:t>，不满足作无效投标处理</w:t>
      </w:r>
      <w:r>
        <w:rPr>
          <w:rFonts w:hint="eastAsia" w:ascii="仿宋" w:hAnsi="仿宋" w:eastAsia="仿宋" w:cs="仿宋"/>
          <w:highlight w:val="none"/>
        </w:rPr>
        <w:t>。）</w:t>
      </w:r>
      <w:bookmarkStart w:id="1" w:name="_GoBack"/>
      <w:bookmarkEnd w:id="1"/>
    </w:p>
    <w:p w14:paraId="47687E9F">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outlineLvl w:val="1"/>
        <w:rPr>
          <w:rFonts w:hint="eastAsia" w:ascii="仿宋" w:hAnsi="仿宋" w:eastAsia="仿宋" w:cs="仿宋"/>
          <w:b/>
          <w:sz w:val="28"/>
          <w:highlight w:val="none"/>
          <w:lang w:val="en-US" w:eastAsia="zh-CN"/>
        </w:rPr>
      </w:pPr>
      <w:r>
        <w:rPr>
          <w:rFonts w:hint="eastAsia" w:ascii="仿宋" w:hAnsi="仿宋" w:eastAsia="仿宋" w:cs="仿宋"/>
          <w:b/>
          <w:sz w:val="28"/>
          <w:highlight w:val="none"/>
          <w:lang w:val="en-US" w:eastAsia="zh-CN"/>
        </w:rPr>
        <w:t>★3.1.标的情况</w:t>
      </w:r>
    </w:p>
    <w:tbl>
      <w:tblPr>
        <w:tblStyle w:val="4"/>
        <w:tblW w:w="8395"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911"/>
        <w:gridCol w:w="1234"/>
        <w:gridCol w:w="1009"/>
        <w:gridCol w:w="3055"/>
        <w:gridCol w:w="1186"/>
      </w:tblGrid>
      <w:tr w14:paraId="2015D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F82C7B">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通用名</w:t>
            </w:r>
          </w:p>
        </w:tc>
        <w:tc>
          <w:tcPr>
            <w:tcW w:w="1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8F70B">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规格</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FC595">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zh-CN" w:eastAsia="zh-CN" w:bidi="zh-CN"/>
              </w:rPr>
              <w:t>单位</w:t>
            </w:r>
          </w:p>
        </w:tc>
        <w:tc>
          <w:tcPr>
            <w:tcW w:w="3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C444A">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最高限价</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C8EB0">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sz w:val="20"/>
                <w:szCs w:val="20"/>
                <w:lang w:val="en-US" w:eastAsia="zh-CN" w:bidi="zh-CN"/>
              </w:rPr>
              <w:t>价格权重</w:t>
            </w:r>
          </w:p>
        </w:tc>
      </w:tr>
      <w:tr w14:paraId="681EB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7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2834CD">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50%柠檬酸消毒液</w:t>
            </w:r>
          </w:p>
        </w:tc>
        <w:tc>
          <w:tcPr>
            <w:tcW w:w="1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BB31F">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5L</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CFC6C">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桶</w:t>
            </w:r>
          </w:p>
        </w:tc>
        <w:tc>
          <w:tcPr>
            <w:tcW w:w="3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744F6">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106元/桶</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D254E">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i w:val="0"/>
                <w:iCs w:val="0"/>
                <w:color w:val="000000"/>
                <w:kern w:val="0"/>
                <w:sz w:val="20"/>
                <w:szCs w:val="20"/>
                <w:u w:val="none"/>
                <w:lang w:val="en-US" w:eastAsia="zh-CN" w:bidi="ar"/>
              </w:rPr>
              <w:t>32.48%</w:t>
            </w:r>
          </w:p>
        </w:tc>
      </w:tr>
      <w:tr w14:paraId="043918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DE38F4">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2%戊二醛消毒液</w:t>
            </w:r>
          </w:p>
        </w:tc>
        <w:tc>
          <w:tcPr>
            <w:tcW w:w="1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2BAF5">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5L</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E68F5">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桶</w:t>
            </w:r>
          </w:p>
        </w:tc>
        <w:tc>
          <w:tcPr>
            <w:tcW w:w="3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F2029">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27元/桶</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EAF0C">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i w:val="0"/>
                <w:iCs w:val="0"/>
                <w:color w:val="000000"/>
                <w:kern w:val="0"/>
                <w:sz w:val="20"/>
                <w:szCs w:val="20"/>
                <w:u w:val="none"/>
                <w:lang w:val="en-US" w:eastAsia="zh-CN" w:bidi="ar"/>
              </w:rPr>
              <w:t>0.46%</w:t>
            </w:r>
          </w:p>
        </w:tc>
      </w:tr>
      <w:tr w14:paraId="62554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D8294D">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邻苯二甲醛消毒液</w:t>
            </w:r>
          </w:p>
        </w:tc>
        <w:tc>
          <w:tcPr>
            <w:tcW w:w="1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5888C">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5L</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58803">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桶</w:t>
            </w:r>
          </w:p>
        </w:tc>
        <w:tc>
          <w:tcPr>
            <w:tcW w:w="3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BC953">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131元/桶</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B7ECD">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i w:val="0"/>
                <w:iCs w:val="0"/>
                <w:color w:val="000000"/>
                <w:kern w:val="0"/>
                <w:sz w:val="20"/>
                <w:szCs w:val="20"/>
                <w:u w:val="none"/>
                <w:lang w:val="en-US" w:eastAsia="zh-CN" w:bidi="ar"/>
              </w:rPr>
              <w:t>3.57%</w:t>
            </w:r>
          </w:p>
        </w:tc>
      </w:tr>
      <w:tr w14:paraId="623AE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B31C71">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84消毒液</w:t>
            </w:r>
          </w:p>
        </w:tc>
        <w:tc>
          <w:tcPr>
            <w:tcW w:w="1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AE09D">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500ml</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15265">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瓶</w:t>
            </w:r>
          </w:p>
        </w:tc>
        <w:tc>
          <w:tcPr>
            <w:tcW w:w="3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2C269">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2.1元/瓶</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7CCF3">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i w:val="0"/>
                <w:iCs w:val="0"/>
                <w:color w:val="000000"/>
                <w:kern w:val="0"/>
                <w:sz w:val="20"/>
                <w:szCs w:val="20"/>
                <w:u w:val="none"/>
                <w:lang w:val="en-US" w:eastAsia="zh-CN" w:bidi="ar"/>
              </w:rPr>
              <w:t>2.29%</w:t>
            </w:r>
          </w:p>
        </w:tc>
      </w:tr>
      <w:tr w14:paraId="62668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741CDD">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过氧乙酸消毒液</w:t>
            </w:r>
          </w:p>
        </w:tc>
        <w:tc>
          <w:tcPr>
            <w:tcW w:w="1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2198A">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5L</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82524">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桶</w:t>
            </w:r>
          </w:p>
        </w:tc>
        <w:tc>
          <w:tcPr>
            <w:tcW w:w="3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9CA55">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199.5元/桶</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D03DE">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i w:val="0"/>
                <w:iCs w:val="0"/>
                <w:color w:val="000000"/>
                <w:kern w:val="0"/>
                <w:sz w:val="20"/>
                <w:szCs w:val="20"/>
                <w:u w:val="none"/>
                <w:lang w:val="en-US" w:eastAsia="zh-CN" w:bidi="ar"/>
              </w:rPr>
              <w:t>61.13%</w:t>
            </w:r>
          </w:p>
        </w:tc>
      </w:tr>
      <w:tr w14:paraId="170F6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F859AD">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过氧乙酸消毒液[A+B]</w:t>
            </w:r>
          </w:p>
        </w:tc>
        <w:tc>
          <w:tcPr>
            <w:tcW w:w="1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DF6B5">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A+B/500ml</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188E4">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瓶</w:t>
            </w:r>
          </w:p>
        </w:tc>
        <w:tc>
          <w:tcPr>
            <w:tcW w:w="3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6DA07">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13.5元/瓶</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3B127">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i w:val="0"/>
                <w:iCs w:val="0"/>
                <w:color w:val="000000"/>
                <w:kern w:val="0"/>
                <w:sz w:val="20"/>
                <w:szCs w:val="20"/>
                <w:u w:val="none"/>
                <w:lang w:val="en-US" w:eastAsia="zh-CN" w:bidi="ar"/>
              </w:rPr>
              <w:t>0.07%</w:t>
            </w:r>
          </w:p>
        </w:tc>
      </w:tr>
    </w:tbl>
    <w:p w14:paraId="27806CCE">
      <w:pPr>
        <w:pStyle w:val="7"/>
        <w:ind w:firstLine="480"/>
        <w:jc w:val="left"/>
        <w:rPr>
          <w:rFonts w:hint="eastAsia" w:ascii="仿宋" w:hAnsi="仿宋" w:eastAsia="仿宋" w:cs="仿宋"/>
          <w:highlight w:val="none"/>
        </w:rPr>
      </w:pPr>
      <w:r>
        <w:rPr>
          <w:rFonts w:hint="eastAsia" w:ascii="仿宋" w:hAnsi="仿宋" w:eastAsia="仿宋" w:cs="仿宋"/>
          <w:highlight w:val="none"/>
        </w:rPr>
        <w:t>★注：</w:t>
      </w:r>
      <w:r>
        <w:rPr>
          <w:rFonts w:hint="eastAsia" w:ascii="仿宋" w:hAnsi="仿宋" w:eastAsia="仿宋" w:cs="仿宋"/>
          <w:highlight w:val="none"/>
          <w:lang w:val="en-US" w:eastAsia="zh-CN"/>
        </w:rPr>
        <w:t>1.</w:t>
      </w:r>
      <w:r>
        <w:rPr>
          <w:rFonts w:hint="eastAsia" w:ascii="仿宋" w:hAnsi="仿宋" w:eastAsia="仿宋" w:cs="仿宋"/>
          <w:highlight w:val="none"/>
          <w:lang w:eastAsia="zh-CN"/>
        </w:rPr>
        <w:t>竞选人</w:t>
      </w:r>
      <w:r>
        <w:rPr>
          <w:rFonts w:hint="eastAsia" w:ascii="仿宋" w:hAnsi="仿宋" w:eastAsia="仿宋" w:cs="仿宋"/>
          <w:highlight w:val="none"/>
        </w:rPr>
        <w:t>响应产品应当明确品牌和规格型号并指向唯一产品，不能指向唯一产品的，应通过报价表唯一产品说明栏补充说明。</w:t>
      </w:r>
    </w:p>
    <w:p w14:paraId="5D6AB940">
      <w:pPr>
        <w:pStyle w:val="7"/>
        <w:ind w:firstLine="480"/>
        <w:jc w:val="left"/>
        <w:rPr>
          <w:rFonts w:hint="default" w:ascii="仿宋" w:hAnsi="仿宋" w:eastAsia="仿宋" w:cs="仿宋"/>
          <w:highlight w:val="none"/>
          <w:lang w:val="en-US" w:eastAsia="zh-CN"/>
        </w:rPr>
      </w:pPr>
      <w:r>
        <w:rPr>
          <w:rFonts w:hint="eastAsia" w:ascii="仿宋" w:hAnsi="仿宋" w:eastAsia="仿宋" w:cs="仿宋"/>
          <w:highlight w:val="none"/>
          <w:lang w:val="en-US" w:eastAsia="zh-CN"/>
        </w:rPr>
        <w:t>2.</w:t>
      </w:r>
      <w:r>
        <w:rPr>
          <w:rFonts w:hint="eastAsia" w:ascii="仿宋" w:hAnsi="仿宋" w:eastAsia="仿宋" w:cs="仿宋"/>
          <w:sz w:val="22"/>
          <w:szCs w:val="22"/>
          <w:highlight w:val="none"/>
          <w:lang w:val="en-US" w:eastAsia="zh-CN"/>
        </w:rPr>
        <w:t>本项目货物均为按需采购，据实结算。</w:t>
      </w:r>
    </w:p>
    <w:p w14:paraId="0DD05F13">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outlineLvl w:val="1"/>
        <w:rPr>
          <w:rFonts w:hint="eastAsia" w:ascii="仿宋" w:hAnsi="仿宋" w:eastAsia="仿宋" w:cs="仿宋"/>
          <w:b/>
          <w:sz w:val="28"/>
          <w:highlight w:val="none"/>
          <w:lang w:val="en-US" w:eastAsia="zh-CN"/>
        </w:rPr>
      </w:pPr>
      <w:r>
        <w:rPr>
          <w:rFonts w:hint="eastAsia" w:ascii="仿宋" w:hAnsi="仿宋" w:eastAsia="仿宋" w:cs="仿宋"/>
          <w:b/>
          <w:sz w:val="28"/>
          <w:highlight w:val="none"/>
          <w:lang w:val="en-US" w:eastAsia="zh-CN"/>
        </w:rPr>
        <w:t>★3.2.技术要求</w:t>
      </w:r>
    </w:p>
    <w:tbl>
      <w:tblPr>
        <w:tblStyle w:val="4"/>
        <w:tblW w:w="0" w:type="auto"/>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168"/>
        <w:gridCol w:w="7188"/>
      </w:tblGrid>
      <w:tr w14:paraId="70036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75" w:hRule="atLeast"/>
        </w:trPr>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3C0B6">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通用名</w:t>
            </w:r>
          </w:p>
        </w:tc>
        <w:tc>
          <w:tcPr>
            <w:tcW w:w="7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BFCF5">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zh-CN" w:eastAsia="zh-CN" w:bidi="zh-CN"/>
              </w:rPr>
              <w:t>参数</w:t>
            </w:r>
          </w:p>
        </w:tc>
      </w:tr>
      <w:tr w14:paraId="1D125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095" w:hRule="atLeast"/>
        </w:trPr>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85812">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50%柠檬酸消毒液</w:t>
            </w:r>
          </w:p>
        </w:tc>
        <w:tc>
          <w:tcPr>
            <w:tcW w:w="7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50843">
            <w:pPr>
              <w:keepNext w:val="0"/>
              <w:keepLines w:val="0"/>
              <w:pageBreakBefore w:val="0"/>
              <w:widowControl/>
              <w:suppressLineNumbers w:val="0"/>
              <w:kinsoku/>
              <w:wordWrap w:val="0"/>
              <w:overflowPunct/>
              <w:topLinePunct/>
              <w:autoSpaceDE/>
              <w:autoSpaceDN/>
              <w:bidi w:val="0"/>
              <w:adjustRightInd/>
              <w:snapToGrid/>
              <w:jc w:val="left"/>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符合透析机使用说明书的要求（使用50%柠檬酸消毒液），必须经国家药品监督管理局批准的消毒液或具有所在地省级卫生健康行政部门发放的卫生许可证或备案的消毒液商品。</w:t>
            </w:r>
          </w:p>
        </w:tc>
      </w:tr>
      <w:tr w14:paraId="07EAA0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80" w:hRule="atLeast"/>
        </w:trPr>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BA685">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2%戊二醛消毒液</w:t>
            </w:r>
          </w:p>
        </w:tc>
        <w:tc>
          <w:tcPr>
            <w:tcW w:w="7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98532">
            <w:pPr>
              <w:keepNext w:val="0"/>
              <w:keepLines w:val="0"/>
              <w:pageBreakBefore w:val="0"/>
              <w:widowControl/>
              <w:suppressLineNumbers w:val="0"/>
              <w:kinsoku/>
              <w:wordWrap w:val="0"/>
              <w:overflowPunct/>
              <w:topLinePunct/>
              <w:autoSpaceDE/>
              <w:autoSpaceDN/>
              <w:bidi w:val="0"/>
              <w:adjustRightInd/>
              <w:snapToGrid/>
              <w:jc w:val="left"/>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戊二醛含量范围为2.0%~2.5%，符合《戊二醛消毒剂卫生要求（GB/T26372-2020）》的要求。</w:t>
            </w:r>
          </w:p>
        </w:tc>
      </w:tr>
      <w:tr w14:paraId="32623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0" w:hRule="atLeast"/>
        </w:trPr>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B9C5B">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邻苯二甲醛消毒液</w:t>
            </w:r>
          </w:p>
        </w:tc>
        <w:tc>
          <w:tcPr>
            <w:tcW w:w="7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00684">
            <w:pPr>
              <w:keepNext w:val="0"/>
              <w:keepLines w:val="0"/>
              <w:pageBreakBefore w:val="0"/>
              <w:widowControl/>
              <w:suppressLineNumbers w:val="0"/>
              <w:kinsoku/>
              <w:wordWrap w:val="0"/>
              <w:overflowPunct/>
              <w:topLinePunct/>
              <w:autoSpaceDE/>
              <w:autoSpaceDN/>
              <w:bidi w:val="0"/>
              <w:adjustRightInd/>
              <w:snapToGrid/>
              <w:jc w:val="left"/>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邻苯二甲醛浓度：0.5%-0.6%，符合《软式内镜清洗消毒技术规范（WS 507-2016 ）》的要求。</w:t>
            </w:r>
          </w:p>
        </w:tc>
      </w:tr>
      <w:tr w14:paraId="3F4660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10" w:hRule="atLeast"/>
        </w:trPr>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ED2C7">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84消毒液</w:t>
            </w:r>
          </w:p>
        </w:tc>
        <w:tc>
          <w:tcPr>
            <w:tcW w:w="7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25A23">
            <w:pPr>
              <w:keepNext w:val="0"/>
              <w:keepLines w:val="0"/>
              <w:pageBreakBefore w:val="0"/>
              <w:widowControl/>
              <w:suppressLineNumbers w:val="0"/>
              <w:kinsoku/>
              <w:wordWrap w:val="0"/>
              <w:overflowPunct/>
              <w:topLinePunct/>
              <w:autoSpaceDE/>
              <w:autoSpaceDN/>
              <w:bidi w:val="0"/>
              <w:adjustRightInd/>
              <w:snapToGrid/>
              <w:jc w:val="left"/>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含氯消毒剂的有效成分含量应符合产品质量标准，浓度波动范围为标示中值±10%。pH值波动范围为标示中值±1。符合《含氯消毒剂卫生要求（GB/T 36758-2018）》的要求。</w:t>
            </w:r>
          </w:p>
        </w:tc>
      </w:tr>
      <w:tr w14:paraId="0EA69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6" w:hRule="atLeast"/>
        </w:trPr>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02B5C">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过氧乙酸消毒液</w:t>
            </w:r>
          </w:p>
        </w:tc>
        <w:tc>
          <w:tcPr>
            <w:tcW w:w="71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C2100A">
            <w:pPr>
              <w:keepNext w:val="0"/>
              <w:keepLines w:val="0"/>
              <w:pageBreakBefore w:val="0"/>
              <w:widowControl/>
              <w:suppressLineNumbers w:val="0"/>
              <w:kinsoku/>
              <w:wordWrap w:val="0"/>
              <w:overflowPunct/>
              <w:topLinePunct/>
              <w:autoSpaceDE/>
              <w:autoSpaceDN/>
              <w:bidi w:val="0"/>
              <w:adjustRightInd/>
              <w:snapToGrid/>
              <w:jc w:val="left"/>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过氧乙酸浓度：0.2%-0.35%（体积分数），符合《过氧化物类消毒剂卫生要求（GB/T26371-2020）》《软式内镜清洗消毒技术规范（WS 507-2016 ）》的要求。</w:t>
            </w:r>
          </w:p>
        </w:tc>
      </w:tr>
      <w:tr w14:paraId="3C07D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0" w:hRule="atLeast"/>
        </w:trPr>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F42AE">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过氧乙酸消毒液[A+B]</w:t>
            </w:r>
          </w:p>
        </w:tc>
        <w:tc>
          <w:tcPr>
            <w:tcW w:w="71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6F1F38">
            <w:pPr>
              <w:keepNext w:val="0"/>
              <w:keepLines w:val="0"/>
              <w:pageBreakBefore w:val="0"/>
              <w:widowControl/>
              <w:suppressLineNumbers w:val="0"/>
              <w:kinsoku/>
              <w:wordWrap w:val="0"/>
              <w:overflowPunct/>
              <w:topLinePunct/>
              <w:autoSpaceDE/>
              <w:autoSpaceDN/>
              <w:bidi w:val="0"/>
              <w:adjustRightInd/>
              <w:snapToGrid/>
              <w:jc w:val="left"/>
              <w:textAlignment w:val="auto"/>
              <w:rPr>
                <w:rFonts w:hint="eastAsia" w:ascii="仿宋" w:hAnsi="仿宋" w:eastAsia="仿宋" w:cs="仿宋"/>
                <w:spacing w:val="-1"/>
                <w:sz w:val="20"/>
                <w:szCs w:val="20"/>
                <w:lang w:val="en-US" w:eastAsia="zh-CN" w:bidi="zh-CN"/>
              </w:rPr>
            </w:pPr>
          </w:p>
        </w:tc>
      </w:tr>
    </w:tbl>
    <w:p w14:paraId="542784CF">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outlineLvl w:val="1"/>
        <w:rPr>
          <w:rFonts w:hint="eastAsia" w:ascii="仿宋" w:hAnsi="仿宋" w:eastAsia="仿宋" w:cs="仿宋"/>
          <w:b/>
          <w:sz w:val="28"/>
          <w:highlight w:val="none"/>
          <w:lang w:val="en-US" w:eastAsia="zh-CN"/>
        </w:rPr>
      </w:pPr>
      <w:r>
        <w:rPr>
          <w:rFonts w:hint="eastAsia" w:ascii="仿宋" w:hAnsi="仿宋" w:eastAsia="仿宋" w:cs="仿宋"/>
          <w:b/>
          <w:sz w:val="28"/>
          <w:highlight w:val="none"/>
          <w:lang w:val="en-US" w:eastAsia="zh-CN"/>
        </w:rPr>
        <w:t>★3.3.商务要求</w:t>
      </w:r>
    </w:p>
    <w:p w14:paraId="3229A11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1.交货期及地点</w:t>
      </w:r>
    </w:p>
    <w:p w14:paraId="5596728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（1）交货期：每次配送时间必须严格按照采购人配送通知执行，中标人应于收到通知后2小时内响应。急用产品的配送时间不应超过4小时，一般产品原则上的配送时间不应超过2个工作日。</w:t>
      </w:r>
    </w:p>
    <w:p w14:paraId="4B59C34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（2）交货地点：内江市第一人民医院指定地点。</w:t>
      </w:r>
    </w:p>
    <w:p w14:paraId="617EDAB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2.付款方法和条件</w:t>
      </w:r>
    </w:p>
    <w:p w14:paraId="2871DD7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（1）结算方式：货款按实结算且由双方协商决定。</w:t>
      </w:r>
    </w:p>
    <w:p w14:paraId="73EE65D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（2）成交价格包含成本、运输、包装、培训、配送、伴随服务、税费及其他附加费用。</w:t>
      </w:r>
    </w:p>
    <w:p w14:paraId="0749B51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3.产品质量保证</w:t>
      </w:r>
    </w:p>
    <w:p w14:paraId="5F0A240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（1）中标人须提供原厂生产的未曾使用过的、全新的合格的货品（含配套配件等），表面无划伤、无破损痕迹，且权属清楚，不得侵害他人的合法权利。</w:t>
      </w:r>
    </w:p>
    <w:p w14:paraId="436BFC8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2）中标人所提供货品须符合或优于国家（行业）标准、本项目招标文件要求及投标文件响应内容。当投标文件响应内容与招标文件要求不一致时，以投标文件响应内容为准。当投标文件响应内容与国家标准、行业标准（若有）不一致时，以较高标准为准。</w:t>
      </w:r>
    </w:p>
    <w:p w14:paraId="640B045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（3）中标人提供货品的设计技术专利、外形专利等均应符合我国有关法律法规及行业标准，凡因以上问题与第三方发生的任何纠纷，由中标人承担全部责任，</w:t>
      </w:r>
      <w:r>
        <w:rPr>
          <w:rFonts w:hint="eastAsia" w:ascii="仿宋" w:hAnsi="仿宋" w:eastAsia="仿宋" w:cs="仿宋"/>
          <w:color w:val="000000"/>
          <w:sz w:val="24"/>
          <w:szCs w:val="24"/>
          <w:highlight w:val="none"/>
          <w:lang w:val="en-US" w:eastAsia="zh-Hans"/>
        </w:rPr>
        <w:t>中标人还应</w:t>
      </w:r>
      <w:r>
        <w:rPr>
          <w:rFonts w:hint="eastAsia" w:ascii="仿宋" w:hAnsi="仿宋" w:eastAsia="仿宋" w:cs="仿宋"/>
          <w:color w:val="000000"/>
          <w:sz w:val="24"/>
          <w:szCs w:val="24"/>
          <w:highlight w:val="none"/>
          <w:lang w:val="en-US" w:eastAsia="zh-CN"/>
        </w:rPr>
        <w:t>负责赔偿采购人由此而遭受的全部损失。</w:t>
      </w:r>
    </w:p>
    <w:p w14:paraId="45DC4A5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（4）中标人保证其提供货品的安全可靠性。在正常使用下不应对使用者造成任何人身伤害，如因产品质量或标示不明确而对使用者造成损失的，由中标人承担相应责任。</w:t>
      </w:r>
    </w:p>
    <w:p w14:paraId="4676B31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5）中标人应保证所供产品原产地真实，产品是全新的、未使用过的，质量符合国家标准（在无国家标准时，符合行业标准），不得以假充真，以次充好，确保临床医疗安全。如出现质量问题，中标人负责按照采购人要求办理退货并承担因产品质量导致的经济和法律责任。送货时，需向采购人提供以下资料：产品送货单、产品合格证明文件（检验报告单）、进口产品需出具中文标签、进口产品需提供中华人民共和国海关进口货物报关单。</w:t>
      </w:r>
    </w:p>
    <w:p w14:paraId="622B2D7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（6）中标人保证所供产品有效期不低于1年，自通过最终验收之日起，确保采购人在使用产品的过程中安全、有效。</w:t>
      </w:r>
    </w:p>
    <w:p w14:paraId="0DB9688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4.验收</w:t>
      </w:r>
    </w:p>
    <w:p w14:paraId="0AD7AA9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1）按照《财政部关于进一步加强政府采购需求和履约验收管理的指导意见》（财库〔2016〕205号）的要求以及采购人招标文件的质量要求和技术指标、中标人的投标文件及承诺（若有）、国家（行业）标准、采购合同约定标准进行验收；</w:t>
      </w:r>
    </w:p>
    <w:p w14:paraId="54F334F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2）验收时如发现所交付的货物有短装、次品、损坏或其他不符合验收标准的，采购人应做出详尽的现场记录，此现场记录或备忘录可用作补充、缺失和更换损坏部件的有效证据，由此产生的时间延误与有关费用由中标人承担，验收期限相应顺延；</w:t>
      </w:r>
    </w:p>
    <w:p w14:paraId="2CB4D0C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3）若所提供货物不符合验收标准，中标人经过2次维修或2次调换后仍不能达到验收质量标准，则视为验收不合格，采购人有权全部（或部分）退货或解除合同。接到采购人退货通知，中标人除应及时运走采购人退还的货物外（若涉及费用或损失均由中标人自行承担），还应向采购人承担相应的违约责任。</w:t>
      </w:r>
    </w:p>
    <w:p w14:paraId="23D5666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（4）其他未尽事宜严格按照《财政部关于进一步加强政府采购需求和履约验收管理的指导意见》（财库〔2016〕205号）的要求进行。</w:t>
      </w:r>
    </w:p>
    <w:p w14:paraId="7552A78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5.售后服务</w:t>
      </w:r>
    </w:p>
    <w:p w14:paraId="71798B5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1）要求中标人必须严格按照招标文件要求和投标文件中的承诺提供配送服务。如果配送的医用产品规格、包装等信息与中标产品的规格、包装等信息不一致并不同意更换的，或配送的医用产品和中标产品不一致的，采购人有权终止合同。</w:t>
      </w:r>
    </w:p>
    <w:p w14:paraId="3795A65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（2）要求中标人指派专人负责与采购人联系售后服务事宜；在投标文件中列明售后联系人及联系电话。</w:t>
      </w:r>
    </w:p>
    <w:p w14:paraId="785CBCF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（3）产品临近失效期，采购人提前三个月向中标人提出更换，中标人须在产品失效前一个月更换完毕，不得以任何理由进行推诿。</w:t>
      </w:r>
    </w:p>
    <w:p w14:paraId="6C333EF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（4）中标人必须随货提供其具备有关合法有效的手续（包括但不限于）：</w:t>
      </w:r>
    </w:p>
    <w:p w14:paraId="31E8F44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a.产品在证件所批的生产（经营）许可范围内;</w:t>
      </w:r>
    </w:p>
    <w:p w14:paraId="620B68B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b.各级授权书的内容齐全，包括授权销售产品范围、销售地域范围及有效时间、法人签名等;</w:t>
      </w:r>
    </w:p>
    <w:p w14:paraId="266D842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c.《消毒产品生产企业卫生许可证》;</w:t>
      </w:r>
    </w:p>
    <w:p w14:paraId="1C2F048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d.新消毒产品（生产、进口利用新材料、新工艺技术和新杀菌原理生产消毒剂和消毒器械）应提供卫生许可批件;</w:t>
      </w:r>
    </w:p>
    <w:p w14:paraId="4C9B998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e.卫生安全评价报告，评价报告内容包括产品的基本情况、产品标签（铭牌）、说明书、检验报告结论、企业标准或质量标准、国产产品生产企业卫生许可资质、进口产品生产国（地区）允许生产销售的批文情况。其中，消毒剂、生物指示物、化学指示物、带有灭菌标识的灭菌物品包装物、抗（抑）菌制剂还包括产品配方;</w:t>
      </w:r>
    </w:p>
    <w:p w14:paraId="10E988A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f.消毒产品标签和说明书符合《消毒产品标签说明书通用要求》(GB 38598-2020)的规定;</w:t>
      </w:r>
    </w:p>
    <w:p w14:paraId="622B6E9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g.每配送一个批次的消毒产品需提供该批次的质检报告，且质检报告的批号应与配送产品一致。</w:t>
      </w:r>
    </w:p>
    <w:p w14:paraId="286D8C0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 xml:space="preserve">6.包装和运输 </w:t>
      </w:r>
    </w:p>
    <w:p w14:paraId="2760ABC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 xml:space="preserve">（1）成交投标人须严格按照《商品包装政府采购需求标准(试行)》、《快递包装政府采购需 求标准(试行)》(财办库〔2020〕123 号)的要求进行产品及相关快递服务的包装。 </w:t>
      </w:r>
    </w:p>
    <w:p w14:paraId="34F33F2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 xml:space="preserve">（2）投标人应当按照约定的方式交付标的物。对于包装方式没有约定或者约定不明确的，应当按照通用的方式包装；没有通用方式的，应当采取足以保护标的物且有利于节约资源，保护生态环境的包装方式。 </w:t>
      </w:r>
    </w:p>
    <w:p w14:paraId="29E1B7D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kern w:val="0"/>
          <w:sz w:val="24"/>
          <w:szCs w:val="24"/>
          <w:highlight w:val="none"/>
          <w:u w:val="none"/>
          <w:lang w:val="en-US" w:eastAsia="zh-CN" w:bidi="ar"/>
        </w:rPr>
      </w:pPr>
      <w:r>
        <w:rPr>
          <w:rFonts w:hint="eastAsia" w:ascii="仿宋" w:hAnsi="仿宋" w:eastAsia="仿宋" w:cs="仿宋"/>
          <w:color w:val="000000"/>
          <w:sz w:val="24"/>
          <w:szCs w:val="24"/>
          <w:highlight w:val="none"/>
          <w:lang w:val="en-US" w:eastAsia="zh-CN"/>
        </w:rPr>
        <w:t>（3）本次采购的标的物需要运输，投标人在合同约定的时间内将标的物运输至合同约定地点</w:t>
      </w:r>
      <w:r>
        <w:rPr>
          <w:rFonts w:hint="eastAsia" w:ascii="仿宋" w:hAnsi="仿宋" w:eastAsia="仿宋" w:cs="仿宋"/>
          <w:color w:val="000000"/>
          <w:kern w:val="0"/>
          <w:sz w:val="24"/>
          <w:szCs w:val="24"/>
          <w:highlight w:val="none"/>
          <w:u w:val="none"/>
          <w:lang w:val="en-US" w:eastAsia="zh-CN" w:bidi="ar"/>
        </w:rPr>
        <w:t>。</w:t>
      </w:r>
    </w:p>
    <w:p w14:paraId="0649D646">
      <w:pPr>
        <w:pStyle w:val="7"/>
        <w:keepNext w:val="0"/>
        <w:keepLines w:val="0"/>
        <w:pageBreakBefore w:val="0"/>
        <w:kinsoku/>
        <w:wordWrap/>
        <w:overflowPunct/>
        <w:topLinePunct w:val="0"/>
        <w:autoSpaceDE/>
        <w:autoSpaceDN/>
        <w:bidi w:val="0"/>
        <w:adjustRightInd/>
        <w:snapToGrid/>
        <w:spacing w:line="360" w:lineRule="auto"/>
        <w:ind w:firstLine="562" w:firstLineChars="200"/>
        <w:jc w:val="left"/>
        <w:textAlignment w:val="auto"/>
        <w:outlineLvl w:val="1"/>
        <w:rPr>
          <w:rFonts w:hint="eastAsia" w:ascii="仿宋" w:hAnsi="仿宋" w:eastAsia="仿宋" w:cs="仿宋"/>
          <w:b/>
          <w:bCs/>
          <w:sz w:val="28"/>
          <w:szCs w:val="28"/>
          <w:highlight w:val="none"/>
          <w:lang w:val="en-US" w:eastAsia="zh-CN"/>
        </w:rPr>
      </w:pPr>
      <w:r>
        <w:rPr>
          <w:rFonts w:hint="eastAsia" w:ascii="仿宋" w:hAnsi="仿宋" w:eastAsia="仿宋" w:cs="仿宋"/>
          <w:b/>
          <w:sz w:val="28"/>
          <w:highlight w:val="none"/>
          <w:lang w:val="en-US" w:eastAsia="zh-CN"/>
        </w:rPr>
        <w:t>★</w:t>
      </w:r>
      <w:r>
        <w:rPr>
          <w:rFonts w:hint="eastAsia" w:ascii="仿宋" w:hAnsi="仿宋" w:eastAsia="仿宋" w:cs="仿宋"/>
          <w:b/>
          <w:bCs/>
          <w:sz w:val="28"/>
          <w:szCs w:val="28"/>
          <w:highlight w:val="none"/>
          <w:lang w:val="en-US" w:eastAsia="zh-CN"/>
        </w:rPr>
        <w:t>3.4.合同管理安排</w:t>
      </w:r>
    </w:p>
    <w:p w14:paraId="40737F5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highlight w:val="none"/>
          <w:u w:val="none"/>
          <w:shd w:val="clear" w:color="auto" w:fill="auto"/>
          <w:lang w:val="en-US" w:eastAsia="zh-CN"/>
        </w:rPr>
      </w:pPr>
      <w:r>
        <w:rPr>
          <w:rFonts w:hint="eastAsia" w:ascii="仿宋" w:hAnsi="仿宋" w:eastAsia="仿宋" w:cs="仿宋"/>
          <w:color w:val="auto"/>
          <w:sz w:val="24"/>
          <w:highlight w:val="none"/>
          <w:u w:val="none"/>
          <w:shd w:val="clear" w:color="auto" w:fill="auto"/>
          <w:lang w:val="en-US" w:eastAsia="zh-CN"/>
        </w:rPr>
        <w:t>1.是否为据实结算：☑是□否</w:t>
      </w:r>
    </w:p>
    <w:p w14:paraId="0659F4C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仿宋" w:hAnsi="仿宋" w:eastAsia="仿宋" w:cs="仿宋"/>
          <w:color w:val="auto"/>
          <w:sz w:val="24"/>
          <w:highlight w:val="none"/>
          <w:u w:val="none"/>
          <w:shd w:val="clear" w:color="auto" w:fill="auto"/>
          <w:lang w:val="en-US" w:eastAsia="zh-CN"/>
        </w:rPr>
      </w:pPr>
      <w:r>
        <w:rPr>
          <w:rFonts w:hint="eastAsia" w:ascii="仿宋" w:hAnsi="仿宋" w:eastAsia="仿宋" w:cs="仿宋"/>
          <w:color w:val="auto"/>
          <w:sz w:val="24"/>
          <w:highlight w:val="none"/>
          <w:u w:val="none"/>
          <w:shd w:val="clear" w:color="auto" w:fill="auto"/>
          <w:lang w:val="en-US" w:eastAsia="zh-CN"/>
        </w:rPr>
        <w:t>2.合同履行期限：1年</w:t>
      </w:r>
    </w:p>
    <w:p w14:paraId="4BD1FAF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仿宋" w:hAnsi="仿宋" w:eastAsia="仿宋" w:cs="仿宋"/>
          <w:color w:val="auto"/>
          <w:sz w:val="24"/>
          <w:highlight w:val="none"/>
          <w:u w:val="none"/>
          <w:shd w:val="clear" w:color="auto" w:fill="auto"/>
          <w:lang w:val="en-US" w:eastAsia="zh-CN"/>
        </w:rPr>
      </w:pPr>
      <w:r>
        <w:rPr>
          <w:rFonts w:hint="eastAsia" w:ascii="仿宋" w:hAnsi="仿宋" w:eastAsia="仿宋" w:cs="仿宋"/>
          <w:color w:val="auto"/>
          <w:sz w:val="24"/>
          <w:highlight w:val="none"/>
          <w:u w:val="none"/>
          <w:shd w:val="clear" w:color="auto" w:fill="auto"/>
          <w:lang w:val="en-US" w:eastAsia="zh-CN"/>
        </w:rPr>
        <w:t>3.合同支付约定：双方协商确定</w:t>
      </w:r>
    </w:p>
    <w:p w14:paraId="7C3BEB9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highlight w:val="none"/>
          <w:u w:val="none"/>
          <w:shd w:val="clear" w:color="auto" w:fill="auto"/>
          <w:lang w:val="en-US" w:eastAsia="zh-CN"/>
        </w:rPr>
      </w:pPr>
      <w:r>
        <w:rPr>
          <w:rFonts w:hint="eastAsia" w:ascii="仿宋" w:hAnsi="仿宋" w:eastAsia="仿宋" w:cs="仿宋"/>
          <w:color w:val="auto"/>
          <w:sz w:val="24"/>
          <w:highlight w:val="none"/>
          <w:u w:val="none"/>
          <w:shd w:val="clear" w:color="auto" w:fill="auto"/>
          <w:lang w:val="en-US" w:eastAsia="zh-CN"/>
        </w:rPr>
        <w:t>4.违约责任与解决争议的方法：</w:t>
      </w:r>
    </w:p>
    <w:p w14:paraId="7E0F44E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highlight w:val="none"/>
          <w:u w:val="none"/>
          <w:shd w:val="clear" w:color="auto" w:fill="auto"/>
          <w:lang w:val="en-US" w:eastAsia="zh-CN"/>
        </w:rPr>
      </w:pPr>
      <w:r>
        <w:rPr>
          <w:rFonts w:hint="eastAsia" w:ascii="仿宋" w:hAnsi="仿宋" w:eastAsia="仿宋" w:cs="仿宋"/>
          <w:color w:val="auto"/>
          <w:sz w:val="24"/>
          <w:highlight w:val="none"/>
          <w:u w:val="none"/>
          <w:shd w:val="clear" w:color="auto" w:fill="auto"/>
          <w:lang w:val="en-US" w:eastAsia="zh-CN"/>
        </w:rPr>
        <w:t>一、违约责任</w:t>
      </w:r>
    </w:p>
    <w:p w14:paraId="3697787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highlight w:val="none"/>
          <w:u w:val="none"/>
          <w:shd w:val="clear" w:color="auto" w:fill="auto"/>
          <w:lang w:val="en-US" w:eastAsia="zh-CN"/>
        </w:rPr>
      </w:pPr>
      <w:r>
        <w:rPr>
          <w:rFonts w:hint="eastAsia" w:ascii="仿宋" w:hAnsi="仿宋" w:eastAsia="仿宋" w:cs="仿宋"/>
          <w:color w:val="auto"/>
          <w:sz w:val="24"/>
          <w:highlight w:val="none"/>
          <w:u w:val="none"/>
          <w:shd w:val="clear" w:color="auto" w:fill="auto"/>
          <w:lang w:val="en-US" w:eastAsia="zh-CN"/>
        </w:rPr>
        <w:t>1、中标人供应的消毒产品、质量不符合合同规定的，应向采购人支付该次货款总价百分之五的违约金，并须在合同规定的交货时间内更换合格的消毒产品给采购人，否则，视作中标人不能交付消毒产品而违约，按本条本款下述第“2”项规定由中标人偿付违约赔偿金给采购人。</w:t>
      </w:r>
    </w:p>
    <w:p w14:paraId="76E0CC0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highlight w:val="none"/>
          <w:u w:val="none"/>
          <w:shd w:val="clear" w:color="auto" w:fill="auto"/>
          <w:lang w:val="en-US" w:eastAsia="zh-CN"/>
        </w:rPr>
      </w:pPr>
      <w:r>
        <w:rPr>
          <w:rFonts w:hint="eastAsia" w:ascii="仿宋" w:hAnsi="仿宋" w:eastAsia="仿宋" w:cs="仿宋"/>
          <w:color w:val="auto"/>
          <w:sz w:val="24"/>
          <w:highlight w:val="none"/>
          <w:u w:val="none"/>
          <w:shd w:val="clear" w:color="auto" w:fill="auto"/>
          <w:lang w:val="en-US" w:eastAsia="zh-CN"/>
        </w:rPr>
        <w:t>2、中标人不能按合同约定及时、足量供应消毒产品而违约的，除应尽快按合同交付消毒产品外，还应向采购人偿付逾期交货部分货款总额的万分之五／天的违约金；逾期交货超过七天，采购人有权单方面解除本合同，中标人则应按合同总价的百分之十的款额向采购人偿付赔偿金。若采购人单方面解除合同，则自解除通知送达中标人时，本合同解除。</w:t>
      </w:r>
    </w:p>
    <w:p w14:paraId="1D3DACD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highlight w:val="none"/>
          <w:u w:val="none"/>
          <w:shd w:val="clear" w:color="auto" w:fill="auto"/>
          <w:lang w:val="en-US" w:eastAsia="zh-CN"/>
        </w:rPr>
      </w:pPr>
      <w:r>
        <w:rPr>
          <w:rFonts w:hint="eastAsia" w:ascii="仿宋" w:hAnsi="仿宋" w:eastAsia="仿宋" w:cs="仿宋"/>
          <w:color w:val="auto"/>
          <w:sz w:val="24"/>
          <w:highlight w:val="none"/>
          <w:u w:val="none"/>
          <w:shd w:val="clear" w:color="auto" w:fill="auto"/>
          <w:lang w:val="en-US" w:eastAsia="zh-CN"/>
        </w:rPr>
        <w:t>3、中标人承诺提供的全部消毒产品不存在任何知识产权争议或其他纠纷，如因此造成第三方向采购人主张权利等纠纷，均与采购人无关，给采购人造成损失的，由中标人自行承担责任并赔偿由此产生的所有费用。</w:t>
      </w:r>
    </w:p>
    <w:p w14:paraId="58F0CDC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highlight w:val="none"/>
          <w:u w:val="none"/>
          <w:shd w:val="clear" w:color="auto" w:fill="auto"/>
          <w:lang w:val="en-US" w:eastAsia="zh-CN"/>
        </w:rPr>
      </w:pPr>
      <w:r>
        <w:rPr>
          <w:rFonts w:hint="eastAsia" w:ascii="仿宋" w:hAnsi="仿宋" w:eastAsia="仿宋" w:cs="仿宋"/>
          <w:color w:val="auto"/>
          <w:sz w:val="24"/>
          <w:highlight w:val="none"/>
          <w:u w:val="none"/>
          <w:shd w:val="clear" w:color="auto" w:fill="auto"/>
          <w:lang w:val="en-US" w:eastAsia="zh-CN"/>
        </w:rPr>
        <w:t>4、中标人供应的消毒产品质量不符合要求，造成采购人被卫生行政主管部门处罚或造成采购人与患者（或第三方）之间产生纠纷等情形，或造成采购人损失的，由中标人承担采购人的全部损失。</w:t>
      </w:r>
    </w:p>
    <w:p w14:paraId="2B01EDD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highlight w:val="none"/>
          <w:u w:val="none"/>
          <w:shd w:val="clear" w:color="auto" w:fill="auto"/>
          <w:lang w:val="en-US" w:eastAsia="zh-CN"/>
        </w:rPr>
      </w:pPr>
      <w:r>
        <w:rPr>
          <w:rFonts w:hint="eastAsia" w:ascii="仿宋" w:hAnsi="仿宋" w:eastAsia="仿宋" w:cs="仿宋"/>
          <w:color w:val="auto"/>
          <w:sz w:val="24"/>
          <w:highlight w:val="none"/>
          <w:u w:val="none"/>
          <w:shd w:val="clear" w:color="auto" w:fill="auto"/>
          <w:lang w:val="en-US" w:eastAsia="zh-CN"/>
        </w:rPr>
        <w:t>（三）不可抗力</w:t>
      </w:r>
    </w:p>
    <w:p w14:paraId="46385AB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highlight w:val="none"/>
          <w:u w:val="none"/>
          <w:shd w:val="clear" w:color="auto" w:fill="auto"/>
          <w:lang w:val="en-US" w:eastAsia="zh-CN"/>
        </w:rPr>
      </w:pPr>
      <w:r>
        <w:rPr>
          <w:rFonts w:hint="eastAsia" w:ascii="仿宋" w:hAnsi="仿宋" w:eastAsia="仿宋" w:cs="仿宋"/>
          <w:color w:val="auto"/>
          <w:sz w:val="24"/>
          <w:highlight w:val="none"/>
          <w:u w:val="none"/>
          <w:shd w:val="clear" w:color="auto" w:fill="auto"/>
          <w:lang w:val="en-US" w:eastAsia="zh-CN"/>
        </w:rPr>
        <w:t>1、本条所述的“不可抗力”是指受影响方无法控制、不可预见的事件，包括战争、严重火灾、洪水、台风、地震及其他双方认可的事件，不包括故意违约或疏忽。</w:t>
      </w:r>
    </w:p>
    <w:p w14:paraId="0BE20C3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highlight w:val="none"/>
          <w:u w:val="none"/>
          <w:shd w:val="clear" w:color="auto" w:fill="auto"/>
          <w:lang w:val="en-US" w:eastAsia="zh-CN"/>
        </w:rPr>
      </w:pPr>
      <w:r>
        <w:rPr>
          <w:rFonts w:hint="eastAsia" w:ascii="仿宋" w:hAnsi="仿宋" w:eastAsia="仿宋" w:cs="仿宋"/>
          <w:color w:val="auto"/>
          <w:sz w:val="24"/>
          <w:highlight w:val="none"/>
          <w:u w:val="none"/>
          <w:shd w:val="clear" w:color="auto" w:fill="auto"/>
          <w:lang w:val="en-US" w:eastAsia="zh-CN"/>
        </w:rPr>
        <w:t>2、任何一方因不可抗力事件导致合同迟延履行或者不能履行的，不承担违约责任。</w:t>
      </w:r>
    </w:p>
    <w:p w14:paraId="5658E4D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highlight w:val="none"/>
          <w:u w:val="none"/>
          <w:shd w:val="clear" w:color="auto" w:fill="auto"/>
          <w:lang w:val="en-US" w:eastAsia="zh-CN"/>
        </w:rPr>
      </w:pPr>
      <w:r>
        <w:rPr>
          <w:rFonts w:hint="eastAsia" w:ascii="仿宋" w:hAnsi="仿宋" w:eastAsia="仿宋" w:cs="仿宋"/>
          <w:color w:val="auto"/>
          <w:sz w:val="24"/>
          <w:highlight w:val="none"/>
          <w:u w:val="none"/>
          <w:shd w:val="clear" w:color="auto" w:fill="auto"/>
          <w:lang w:val="en-US" w:eastAsia="zh-CN"/>
        </w:rPr>
        <w:t>3、在不可抗力事件发生后，遭遇不可抗力的一方应尽快以书面形式将不可抗力的情况和原因通知对方，除对方同意外，在不可抗力情形消除后应继续履行合同义务。</w:t>
      </w:r>
    </w:p>
    <w:p w14:paraId="1C02D9C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highlight w:val="none"/>
          <w:u w:val="none"/>
          <w:shd w:val="clear" w:color="auto" w:fill="auto"/>
          <w:lang w:val="en-US" w:eastAsia="zh-CN"/>
        </w:rPr>
      </w:pPr>
      <w:r>
        <w:rPr>
          <w:rFonts w:hint="eastAsia" w:ascii="仿宋" w:hAnsi="仿宋" w:eastAsia="仿宋" w:cs="仿宋"/>
          <w:color w:val="auto"/>
          <w:sz w:val="24"/>
          <w:highlight w:val="none"/>
          <w:u w:val="none"/>
          <w:shd w:val="clear" w:color="auto" w:fill="auto"/>
          <w:lang w:val="en-US" w:eastAsia="zh-CN"/>
        </w:rPr>
        <w:t>二、解决争议的方法</w:t>
      </w:r>
    </w:p>
    <w:p w14:paraId="1AB6233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highlight w:val="none"/>
          <w:u w:val="none"/>
          <w:shd w:val="clear" w:color="auto" w:fill="auto"/>
          <w:lang w:val="en-US" w:eastAsia="zh-CN"/>
        </w:rPr>
      </w:pPr>
      <w:r>
        <w:rPr>
          <w:rFonts w:hint="eastAsia" w:ascii="仿宋" w:hAnsi="仿宋" w:eastAsia="仿宋" w:cs="仿宋"/>
          <w:color w:val="auto"/>
          <w:sz w:val="24"/>
          <w:highlight w:val="none"/>
          <w:u w:val="none"/>
          <w:shd w:val="clear" w:color="auto" w:fill="auto"/>
          <w:lang w:val="en-US" w:eastAsia="zh-CN"/>
        </w:rPr>
        <w:t>1．因消毒产品质量问题发生争议，由卫生行政管理部门或其指定的质量鉴定机构进行质量鉴定。消毒产品符合标准的，鉴定费由采购人承担；消毒产不符合质量标准的，鉴定费由中标人承担。</w:t>
      </w:r>
    </w:p>
    <w:p w14:paraId="032A86D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highlight w:val="none"/>
          <w:u w:val="none"/>
          <w:shd w:val="clear" w:color="auto" w:fill="auto"/>
          <w:lang w:val="en-US" w:eastAsia="zh-CN"/>
        </w:rPr>
      </w:pPr>
      <w:r>
        <w:rPr>
          <w:rFonts w:hint="eastAsia" w:ascii="仿宋" w:hAnsi="仿宋" w:eastAsia="仿宋" w:cs="仿宋"/>
          <w:color w:val="auto"/>
          <w:sz w:val="24"/>
          <w:highlight w:val="none"/>
          <w:u w:val="none"/>
          <w:shd w:val="clear" w:color="auto" w:fill="auto"/>
          <w:lang w:val="en-US" w:eastAsia="zh-CN"/>
        </w:rPr>
        <w:t>2．合同履行期间，若双方发生争议，可协商或由有关部门调解解决，协商或调解不成的，任何一方均可向采购人住所地人民法院提起诉讼解决。</w:t>
      </w:r>
    </w:p>
    <w:p w14:paraId="74A8F08B">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outlineLvl w:val="1"/>
        <w:rPr>
          <w:rFonts w:hint="eastAsia" w:ascii="仿宋" w:hAnsi="仿宋" w:eastAsia="仿宋" w:cs="仿宋"/>
          <w:b/>
          <w:bCs/>
          <w:color w:val="auto"/>
          <w:sz w:val="28"/>
          <w:szCs w:val="28"/>
          <w:highlight w:val="none"/>
          <w:shd w:val="clear" w:color="auto" w:fill="auto"/>
          <w:lang w:val="en-US" w:eastAsia="zh-CN"/>
        </w:rPr>
      </w:pPr>
      <w:r>
        <w:rPr>
          <w:rFonts w:hint="eastAsia" w:ascii="仿宋" w:hAnsi="仿宋" w:eastAsia="仿宋" w:cs="仿宋"/>
          <w:b/>
          <w:sz w:val="28"/>
          <w:highlight w:val="none"/>
          <w:lang w:val="en-US" w:eastAsia="zh-CN"/>
        </w:rPr>
        <w:t>★</w:t>
      </w:r>
      <w:r>
        <w:rPr>
          <w:rFonts w:hint="eastAsia" w:ascii="仿宋" w:hAnsi="仿宋" w:eastAsia="仿宋" w:cs="仿宋"/>
          <w:b/>
          <w:bCs/>
          <w:color w:val="auto"/>
          <w:sz w:val="28"/>
          <w:szCs w:val="28"/>
          <w:highlight w:val="none"/>
          <w:shd w:val="clear" w:color="auto" w:fill="auto"/>
          <w:lang w:val="en-US" w:eastAsia="zh-CN"/>
        </w:rPr>
        <w:t>3.5.</w:t>
      </w:r>
      <w:r>
        <w:rPr>
          <w:rFonts w:hint="eastAsia" w:ascii="仿宋" w:hAnsi="仿宋" w:eastAsia="仿宋" w:cs="仿宋"/>
          <w:b/>
          <w:bCs/>
          <w:color w:val="auto"/>
          <w:kern w:val="2"/>
          <w:sz w:val="28"/>
          <w:szCs w:val="28"/>
          <w:highlight w:val="none"/>
          <w:shd w:val="clear" w:color="auto" w:fill="auto"/>
          <w:lang w:val="en-US" w:eastAsia="zh-CN" w:bidi="ar-SA"/>
        </w:rPr>
        <w:t>履约验收方案</w:t>
      </w:r>
    </w:p>
    <w:p w14:paraId="3630675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highlight w:val="none"/>
          <w:u w:val="none"/>
          <w:shd w:val="clear" w:color="auto" w:fill="auto"/>
          <w:lang w:val="en-US" w:eastAsia="zh-CN"/>
        </w:rPr>
      </w:pPr>
      <w:r>
        <w:rPr>
          <w:rFonts w:hint="eastAsia" w:ascii="仿宋" w:hAnsi="仿宋" w:eastAsia="仿宋" w:cs="仿宋"/>
          <w:color w:val="auto"/>
          <w:sz w:val="24"/>
          <w:highlight w:val="none"/>
          <w:u w:val="none"/>
          <w:shd w:val="clear" w:color="auto" w:fill="auto"/>
          <w:lang w:val="en-US" w:eastAsia="zh-CN"/>
        </w:rPr>
        <w:t>1.履约验收程序：合同期限内，采购人下达采购计划，中标人按照采购计划分批次送货，采购人对送达的产品进行验收，采购人完成签字验收入库后后即视为验收合格。</w:t>
      </w:r>
    </w:p>
    <w:p w14:paraId="69A76AC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仿宋" w:hAnsi="仿宋" w:eastAsia="仿宋" w:cs="仿宋"/>
          <w:color w:val="auto"/>
          <w:sz w:val="24"/>
          <w:highlight w:val="none"/>
          <w:u w:val="none"/>
          <w:shd w:val="clear" w:color="auto" w:fill="auto"/>
          <w:lang w:val="en-US" w:eastAsia="zh-CN"/>
        </w:rPr>
      </w:pPr>
      <w:r>
        <w:rPr>
          <w:rFonts w:hint="eastAsia" w:ascii="仿宋" w:hAnsi="仿宋" w:eastAsia="仿宋" w:cs="仿宋"/>
          <w:color w:val="auto"/>
          <w:sz w:val="24"/>
          <w:highlight w:val="none"/>
          <w:u w:val="none"/>
          <w:shd w:val="clear" w:color="auto" w:fill="auto"/>
          <w:lang w:val="en-US" w:eastAsia="zh-CN"/>
        </w:rPr>
        <w:t>2.履约验收时间：中标人按照采购人的要求送达货物后，采购人组织验收并入库。</w:t>
      </w:r>
    </w:p>
    <w:p w14:paraId="366E5C6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highlight w:val="none"/>
          <w:u w:val="none"/>
          <w:shd w:val="clear" w:color="auto" w:fill="auto"/>
          <w:lang w:val="en-US" w:eastAsia="zh-CN"/>
        </w:rPr>
      </w:pPr>
      <w:r>
        <w:rPr>
          <w:rFonts w:hint="eastAsia" w:ascii="仿宋" w:hAnsi="仿宋" w:eastAsia="仿宋" w:cs="仿宋"/>
          <w:color w:val="auto"/>
          <w:sz w:val="24"/>
          <w:highlight w:val="none"/>
          <w:u w:val="none"/>
          <w:shd w:val="clear" w:color="auto" w:fill="auto"/>
          <w:lang w:val="en-US" w:eastAsia="zh-CN"/>
        </w:rPr>
        <w:t>3.技术履约验收内容：</w:t>
      </w:r>
      <w:r>
        <w:rPr>
          <w:rFonts w:hint="default" w:ascii="仿宋" w:hAnsi="仿宋" w:eastAsia="仿宋" w:cs="仿宋"/>
          <w:color w:val="auto"/>
          <w:sz w:val="24"/>
          <w:highlight w:val="none"/>
          <w:u w:val="none"/>
          <w:shd w:val="clear" w:color="auto" w:fill="auto"/>
          <w:lang w:val="en-US" w:eastAsia="zh-CN"/>
        </w:rPr>
        <w:t>采购人按照本项目技术要求进行验收</w:t>
      </w:r>
      <w:r>
        <w:rPr>
          <w:rFonts w:hint="eastAsia" w:ascii="仿宋" w:hAnsi="仿宋" w:eastAsia="仿宋" w:cs="仿宋"/>
          <w:color w:val="auto"/>
          <w:sz w:val="24"/>
          <w:highlight w:val="none"/>
          <w:u w:val="none"/>
          <w:shd w:val="clear" w:color="auto" w:fill="auto"/>
          <w:lang w:val="en-US" w:eastAsia="zh-CN"/>
        </w:rPr>
        <w:t>。</w:t>
      </w:r>
    </w:p>
    <w:p w14:paraId="619AC5B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highlight w:val="none"/>
          <w:u w:val="none"/>
          <w:shd w:val="clear" w:color="auto" w:fill="auto"/>
          <w:lang w:val="en-US" w:eastAsia="zh-CN"/>
        </w:rPr>
      </w:pPr>
      <w:r>
        <w:rPr>
          <w:rFonts w:hint="eastAsia" w:ascii="仿宋" w:hAnsi="仿宋" w:eastAsia="仿宋" w:cs="仿宋"/>
          <w:color w:val="auto"/>
          <w:sz w:val="24"/>
          <w:highlight w:val="none"/>
          <w:u w:val="none"/>
          <w:shd w:val="clear" w:color="auto" w:fill="auto"/>
          <w:lang w:val="en-US" w:eastAsia="zh-CN"/>
        </w:rPr>
        <w:t>4.商务履约验收内容：采购人按照本项目商务要求进行验收。</w:t>
      </w:r>
    </w:p>
    <w:p w14:paraId="4B26F91A">
      <w:pPr>
        <w:ind w:firstLine="480" w:firstLineChars="200"/>
      </w:pPr>
      <w:r>
        <w:rPr>
          <w:rFonts w:hint="eastAsia" w:ascii="仿宋" w:hAnsi="仿宋" w:eastAsia="仿宋" w:cs="仿宋"/>
          <w:color w:val="auto"/>
          <w:sz w:val="24"/>
          <w:highlight w:val="none"/>
          <w:u w:val="none"/>
          <w:shd w:val="clear" w:color="auto" w:fill="auto"/>
          <w:lang w:val="en-US" w:eastAsia="zh-CN"/>
        </w:rPr>
        <w:t>5.履约收标准：采购人按照本项目合同要求进行验收</w:t>
      </w:r>
      <w:r>
        <w:rPr>
          <w:rFonts w:hint="eastAsia" w:ascii="仿宋" w:hAnsi="仿宋" w:eastAsia="仿宋" w:cs="仿宋"/>
          <w:color w:val="000000"/>
          <w:kern w:val="0"/>
          <w:sz w:val="22"/>
          <w:szCs w:val="22"/>
          <w:u w:val="none"/>
          <w:lang w:val="en-US" w:eastAsia="zh-CN" w:bidi="ar"/>
        </w:rPr>
        <w:t>。</w:t>
      </w:r>
      <w:r>
        <w:rPr>
          <w:rFonts w:hint="eastAsia" w:ascii="仿宋" w:hAnsi="仿宋" w:eastAsia="仿宋" w:cs="仿宋"/>
          <w:color w:val="000000"/>
          <w:kern w:val="0"/>
          <w:sz w:val="22"/>
          <w:szCs w:val="22"/>
          <w:u w:val="none"/>
          <w:lang w:val="en-US" w:eastAsia="zh-CN" w:bidi="ar"/>
        </w:rPr>
        <w:br w:type="textWrapp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7F66F5"/>
    <w:rsid w:val="108B406B"/>
    <w:rsid w:val="18864C72"/>
    <w:rsid w:val="1ACE595C"/>
    <w:rsid w:val="388A64C7"/>
    <w:rsid w:val="4A3F41CE"/>
    <w:rsid w:val="67BA4749"/>
    <w:rsid w:val="7D7608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widowControl w:val="0"/>
      <w:autoSpaceDE/>
      <w:autoSpaceDN/>
      <w:spacing w:before="0" w:after="0" w:line="360" w:lineRule="auto"/>
      <w:ind w:left="0" w:firstLine="24"/>
      <w:jc w:val="center"/>
      <w:outlineLvl w:val="0"/>
    </w:pPr>
    <w:rPr>
      <w:rFonts w:ascii="Times New Roman" w:hAnsi="Times New Roman" w:eastAsia="仿宋" w:cs="Times New Roman"/>
      <w:b/>
      <w:sz w:val="32"/>
      <w:szCs w:val="22"/>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snapToGrid w:val="0"/>
      <w:spacing w:line="440" w:lineRule="exact"/>
    </w:pPr>
    <w:rPr>
      <w:rFonts w:ascii="Times New Roman" w:eastAsia="Times New Roman"/>
      <w:sz w:val="20"/>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3133</Words>
  <Characters>3347</Characters>
  <Lines>0</Lines>
  <Paragraphs>0</Paragraphs>
  <TotalTime>0</TotalTime>
  <ScaleCrop>false</ScaleCrop>
  <LinksUpToDate>false</LinksUpToDate>
  <CharactersWithSpaces>3359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超超杨</cp:lastModifiedBy>
  <dcterms:modified xsi:type="dcterms:W3CDTF">2025-04-02T01:47:28Z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eyJoZGlkIjoiYzI4N2ZiMDIxNTgzYTE0ZGY4Y2VmOTFiZDBiZGUxMjUiLCJ1c2VySWQiOiIyOTgyNDc5NTEifQ==</vt:lpwstr>
  </property>
  <property fmtid="{D5CDD505-2E9C-101B-9397-08002B2CF9AE}" pid="4" name="ICV">
    <vt:lpwstr>C5B7C8CBB9774CFEB3B6A5951A74B4A9_12</vt:lpwstr>
  </property>
</Properties>
</file>