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8525D">
      <w:pPr>
        <w:pStyle w:val="5"/>
        <w:jc w:val="center"/>
        <w:outlineLvl w:val="0"/>
        <w:rPr>
          <w:rFonts w:hint="eastAsia" w:ascii="仿宋" w:hAnsi="仿宋" w:eastAsia="仿宋" w:cs="仿宋"/>
          <w:highlight w:val="none"/>
        </w:rPr>
      </w:pPr>
      <w:bookmarkStart w:id="1" w:name="_GoBack"/>
      <w:bookmarkEnd w:id="1"/>
      <w:bookmarkStart w:id="0" w:name="_Toc27801"/>
      <w:r>
        <w:rPr>
          <w:rFonts w:hint="eastAsia" w:ascii="仿宋" w:hAnsi="仿宋" w:eastAsia="仿宋" w:cs="仿宋"/>
          <w:b/>
          <w:sz w:val="36"/>
          <w:highlight w:val="none"/>
        </w:rPr>
        <w:t>第三章 技术、服务及其他要求</w:t>
      </w:r>
      <w:bookmarkEnd w:id="0"/>
    </w:p>
    <w:p w14:paraId="5A7CDAB8">
      <w:pPr>
        <w:pStyle w:val="5"/>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24376039">
      <w:pPr>
        <w:pStyle w:val="5"/>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037F5769">
      <w:pPr>
        <w:pStyle w:val="5"/>
        <w:jc w:val="left"/>
        <w:outlineLvl w:val="2"/>
        <w:rPr>
          <w:rFonts w:hint="eastAsia" w:ascii="仿宋" w:hAnsi="仿宋" w:eastAsia="仿宋" w:cs="仿宋"/>
          <w:b/>
          <w:bCs/>
          <w:i w:val="0"/>
          <w:iCs w:val="0"/>
        </w:rPr>
      </w:pPr>
      <w:r>
        <w:rPr>
          <w:rFonts w:hint="eastAsia" w:ascii="仿宋" w:hAnsi="仿宋" w:eastAsia="仿宋" w:cs="仿宋"/>
          <w:b/>
          <w:bCs/>
          <w:i w:val="0"/>
          <w:iCs w:val="0"/>
          <w:sz w:val="24"/>
          <w:szCs w:val="24"/>
        </w:rPr>
        <w:t>采购包1：</w:t>
      </w:r>
    </w:p>
    <w:p w14:paraId="5217F2A8">
      <w:pPr>
        <w:pStyle w:val="5"/>
        <w:ind w:firstLine="480"/>
        <w:jc w:val="left"/>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本项目提供的产品，必须为“四川省药品和医用耗材招采管理系统”中已挂网产品（不含正在挂网和备案的产品）。</w:t>
      </w:r>
    </w:p>
    <w:tbl>
      <w:tblPr>
        <w:tblStyle w:val="2"/>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76"/>
        <w:gridCol w:w="631"/>
        <w:gridCol w:w="2444"/>
        <w:gridCol w:w="1656"/>
        <w:gridCol w:w="1656"/>
        <w:gridCol w:w="1656"/>
      </w:tblGrid>
      <w:tr w14:paraId="228A74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280" w:type="pct"/>
            <w:vAlign w:val="center"/>
          </w:tcPr>
          <w:p w14:paraId="573D770D">
            <w:pPr>
              <w:pStyle w:val="5"/>
              <w:jc w:val="center"/>
              <w:rPr>
                <w:rFonts w:hint="eastAsia" w:ascii="仿宋" w:hAnsi="仿宋" w:eastAsia="仿宋" w:cs="仿宋"/>
                <w:lang w:val="en-US" w:eastAsia="zh-CN"/>
              </w:rPr>
            </w:pPr>
            <w:r>
              <w:rPr>
                <w:rFonts w:hint="eastAsia" w:ascii="仿宋" w:hAnsi="仿宋" w:eastAsia="仿宋" w:cs="仿宋"/>
                <w:lang w:val="en-US" w:eastAsia="zh-CN"/>
              </w:rPr>
              <w:t>包号</w:t>
            </w:r>
          </w:p>
        </w:tc>
        <w:tc>
          <w:tcPr>
            <w:tcW w:w="370" w:type="pct"/>
            <w:vAlign w:val="center"/>
          </w:tcPr>
          <w:p w14:paraId="0C06DA8A">
            <w:pPr>
              <w:pStyle w:val="5"/>
              <w:jc w:val="center"/>
              <w:rPr>
                <w:rFonts w:hint="eastAsia" w:ascii="仿宋" w:hAnsi="仿宋" w:eastAsia="仿宋" w:cs="仿宋"/>
                <w:lang w:val="en-US" w:eastAsia="zh-CN"/>
              </w:rPr>
            </w:pPr>
            <w:r>
              <w:rPr>
                <w:rFonts w:hint="eastAsia" w:ascii="仿宋" w:hAnsi="仿宋" w:eastAsia="仿宋" w:cs="仿宋"/>
                <w:lang w:val="en-US" w:eastAsia="zh-CN"/>
              </w:rPr>
              <w:t>编号</w:t>
            </w:r>
          </w:p>
        </w:tc>
        <w:tc>
          <w:tcPr>
            <w:tcW w:w="1433" w:type="pct"/>
            <w:vAlign w:val="center"/>
          </w:tcPr>
          <w:p w14:paraId="69979F85">
            <w:pPr>
              <w:pStyle w:val="5"/>
              <w:jc w:val="center"/>
              <w:rPr>
                <w:rFonts w:hint="eastAsia" w:ascii="仿宋" w:hAnsi="仿宋" w:eastAsia="仿宋" w:cs="仿宋"/>
                <w:lang w:val="en-US" w:eastAsia="zh-CN"/>
              </w:rPr>
            </w:pPr>
            <w:r>
              <w:rPr>
                <w:rFonts w:hint="eastAsia" w:ascii="仿宋" w:hAnsi="仿宋" w:eastAsia="仿宋" w:cs="仿宋"/>
                <w:lang w:val="en-US" w:eastAsia="zh-CN"/>
              </w:rPr>
              <w:t>标的名称</w:t>
            </w:r>
          </w:p>
        </w:tc>
        <w:tc>
          <w:tcPr>
            <w:tcW w:w="971" w:type="pct"/>
            <w:vAlign w:val="center"/>
          </w:tcPr>
          <w:p w14:paraId="773C5DB5">
            <w:pPr>
              <w:pStyle w:val="5"/>
              <w:jc w:val="center"/>
              <w:rPr>
                <w:rFonts w:hint="eastAsia" w:ascii="仿宋" w:hAnsi="仿宋" w:eastAsia="仿宋" w:cs="仿宋"/>
                <w:lang w:val="en-US" w:eastAsia="zh-CN"/>
              </w:rPr>
            </w:pPr>
            <w:r>
              <w:rPr>
                <w:rFonts w:hint="eastAsia" w:ascii="仿宋" w:hAnsi="仿宋" w:eastAsia="仿宋" w:cs="仿宋"/>
                <w:lang w:val="en-US" w:eastAsia="zh-CN"/>
              </w:rPr>
              <w:t>★单价（元）</w:t>
            </w:r>
          </w:p>
        </w:tc>
        <w:tc>
          <w:tcPr>
            <w:tcW w:w="971" w:type="pct"/>
            <w:vAlign w:val="center"/>
          </w:tcPr>
          <w:p w14:paraId="61DF6A9B">
            <w:pPr>
              <w:pStyle w:val="5"/>
              <w:jc w:val="center"/>
              <w:rPr>
                <w:rFonts w:hint="eastAsia" w:ascii="仿宋" w:hAnsi="仿宋" w:eastAsia="仿宋" w:cs="仿宋"/>
                <w:lang w:val="en-US" w:eastAsia="zh-CN"/>
              </w:rPr>
            </w:pPr>
            <w:r>
              <w:rPr>
                <w:rFonts w:hint="eastAsia" w:ascii="仿宋" w:hAnsi="仿宋" w:eastAsia="仿宋" w:cs="仿宋"/>
                <w:lang w:val="en-US" w:eastAsia="zh-CN"/>
              </w:rPr>
              <w:t>★计量单位</w:t>
            </w:r>
          </w:p>
        </w:tc>
        <w:tc>
          <w:tcPr>
            <w:tcW w:w="971" w:type="pct"/>
            <w:vAlign w:val="center"/>
          </w:tcPr>
          <w:p w14:paraId="18A06698">
            <w:pPr>
              <w:pStyle w:val="5"/>
              <w:jc w:val="center"/>
              <w:rPr>
                <w:rFonts w:hint="eastAsia" w:ascii="仿宋" w:hAnsi="仿宋" w:eastAsia="仿宋" w:cs="仿宋"/>
                <w:lang w:val="en-US" w:eastAsia="zh-CN"/>
              </w:rPr>
            </w:pPr>
            <w:r>
              <w:rPr>
                <w:rFonts w:hint="eastAsia" w:ascii="仿宋" w:hAnsi="仿宋" w:eastAsia="仿宋" w:cs="仿宋"/>
                <w:lang w:val="en-US" w:eastAsia="zh-CN"/>
              </w:rPr>
              <w:t>预算金额/最高限价（每年）（元）</w:t>
            </w:r>
          </w:p>
        </w:tc>
      </w:tr>
      <w:tr w14:paraId="0BDEB0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Align w:val="center"/>
          </w:tcPr>
          <w:p w14:paraId="5BFCA9D1">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370" w:type="pct"/>
            <w:vAlign w:val="center"/>
          </w:tcPr>
          <w:p w14:paraId="012E2448">
            <w:pPr>
              <w:pStyle w:val="5"/>
              <w:jc w:val="center"/>
              <w:rPr>
                <w:rFonts w:hint="eastAsia" w:ascii="仿宋" w:hAnsi="仿宋" w:eastAsia="仿宋" w:cs="仿宋"/>
                <w:sz w:val="20"/>
                <w:szCs w:val="20"/>
                <w:lang w:val="en-US" w:eastAsia="zh-CN"/>
              </w:rPr>
            </w:pPr>
            <w:r>
              <w:rPr>
                <w:rFonts w:hint="eastAsia" w:ascii="仿宋" w:hAnsi="仿宋" w:eastAsia="仿宋" w:cs="仿宋"/>
                <w:color w:val="auto"/>
                <w:kern w:val="2"/>
                <w:sz w:val="18"/>
                <w:szCs w:val="18"/>
                <w:highlight w:val="none"/>
                <w:shd w:val="clear" w:color="auto" w:fill="auto"/>
                <w:lang w:val="en-US" w:eastAsia="zh-CN" w:bidi="ar-SA"/>
              </w:rPr>
              <w:t>1</w:t>
            </w:r>
          </w:p>
        </w:tc>
        <w:tc>
          <w:tcPr>
            <w:tcW w:w="1433" w:type="pct"/>
            <w:vAlign w:val="center"/>
          </w:tcPr>
          <w:p w14:paraId="5676A8F5">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18"/>
                <w:szCs w:val="18"/>
                <w:highlight w:val="none"/>
                <w:shd w:val="clear" w:color="auto" w:fill="auto"/>
                <w:lang w:val="en-US" w:eastAsia="zh-CN"/>
              </w:rPr>
              <w:t>一氧化氮检测试剂盒</w:t>
            </w:r>
          </w:p>
        </w:tc>
        <w:tc>
          <w:tcPr>
            <w:tcW w:w="971" w:type="pct"/>
            <w:vAlign w:val="center"/>
          </w:tcPr>
          <w:p w14:paraId="02D0EAF2">
            <w:pPr>
              <w:spacing w:line="400" w:lineRule="exact"/>
              <w:jc w:val="center"/>
              <w:rPr>
                <w:rFonts w:hint="default" w:ascii="仿宋" w:hAnsi="仿宋" w:eastAsia="仿宋" w:cs="仿宋"/>
                <w:sz w:val="20"/>
                <w:szCs w:val="20"/>
                <w:lang w:val="en-US" w:eastAsia="zh-CN"/>
              </w:rPr>
            </w:pPr>
            <w:r>
              <w:rPr>
                <w:rFonts w:hint="eastAsia" w:ascii="仿宋" w:hAnsi="仿宋" w:eastAsia="仿宋" w:cs="仿宋"/>
                <w:b w:val="0"/>
                <w:bCs w:val="0"/>
                <w:color w:val="auto"/>
                <w:sz w:val="18"/>
                <w:szCs w:val="18"/>
                <w:highlight w:val="none"/>
                <w:shd w:val="clear" w:color="auto" w:fill="auto"/>
                <w:lang w:val="en-US" w:eastAsia="zh-CN"/>
              </w:rPr>
              <w:t>118</w:t>
            </w:r>
          </w:p>
        </w:tc>
        <w:tc>
          <w:tcPr>
            <w:tcW w:w="971" w:type="pct"/>
            <w:vAlign w:val="center"/>
          </w:tcPr>
          <w:p w14:paraId="250F9023">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20"/>
                <w:szCs w:val="20"/>
                <w:highlight w:val="none"/>
                <w:shd w:val="clear" w:color="auto" w:fill="auto"/>
                <w:lang w:val="en-US" w:eastAsia="zh-CN"/>
              </w:rPr>
              <w:t>人次</w:t>
            </w:r>
          </w:p>
        </w:tc>
        <w:tc>
          <w:tcPr>
            <w:tcW w:w="971" w:type="pct"/>
            <w:vAlign w:val="center"/>
          </w:tcPr>
          <w:p w14:paraId="687885B7">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bl>
    <w:p w14:paraId="65497609">
      <w:pPr>
        <w:pStyle w:val="5"/>
        <w:ind w:firstLine="480"/>
        <w:jc w:val="left"/>
        <w:rPr>
          <w:rFonts w:hint="eastAsia" w:ascii="仿宋" w:hAnsi="仿宋" w:eastAsia="仿宋" w:cs="仿宋"/>
        </w:rPr>
      </w:pPr>
    </w:p>
    <w:p w14:paraId="1188339C">
      <w:pPr>
        <w:pStyle w:val="5"/>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742D3B09">
      <w:pPr>
        <w:pStyle w:val="5"/>
        <w:jc w:val="left"/>
        <w:rPr>
          <w:rFonts w:hint="eastAsia" w:ascii="仿宋" w:hAnsi="仿宋" w:eastAsia="仿宋" w:cs="仿宋"/>
        </w:rPr>
      </w:pPr>
    </w:p>
    <w:p w14:paraId="16D1E8F2">
      <w:pPr>
        <w:pStyle w:val="5"/>
        <w:jc w:val="left"/>
        <w:outlineLvl w:val="1"/>
        <w:rPr>
          <w:rFonts w:hint="eastAsia" w:ascii="仿宋" w:hAnsi="仿宋" w:eastAsia="仿宋" w:cs="仿宋"/>
          <w:lang w:eastAsia="zh-CN"/>
        </w:rPr>
      </w:pPr>
      <w:r>
        <w:rPr>
          <w:rFonts w:hint="eastAsia" w:ascii="仿宋" w:hAnsi="仿宋" w:eastAsia="仿宋" w:cs="仿宋"/>
          <w:b/>
          <w:sz w:val="28"/>
        </w:rPr>
        <w:t>3.2.技术要求</w:t>
      </w:r>
    </w:p>
    <w:p w14:paraId="167BB07E">
      <w:pPr>
        <w:pStyle w:val="5"/>
        <w:jc w:val="left"/>
        <w:outlineLvl w:val="2"/>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15"/>
        <w:gridCol w:w="1584"/>
        <w:gridCol w:w="1636"/>
        <w:gridCol w:w="2030"/>
        <w:gridCol w:w="1866"/>
        <w:gridCol w:w="891"/>
      </w:tblGrid>
      <w:tr w14:paraId="01E7C3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trPr>
        <w:tc>
          <w:tcPr>
            <w:tcW w:w="521" w:type="dxa"/>
            <w:vAlign w:val="center"/>
          </w:tcPr>
          <w:p w14:paraId="0D166FF8">
            <w:pPr>
              <w:pStyle w:val="5"/>
              <w:jc w:val="center"/>
              <w:rPr>
                <w:rFonts w:hint="eastAsia" w:ascii="仿宋" w:hAnsi="仿宋" w:eastAsia="仿宋" w:cs="仿宋"/>
              </w:rPr>
            </w:pPr>
            <w:r>
              <w:rPr>
                <w:rFonts w:hint="eastAsia" w:ascii="仿宋" w:hAnsi="仿宋" w:eastAsia="仿宋" w:cs="仿宋"/>
              </w:rPr>
              <w:t>序号</w:t>
            </w:r>
          </w:p>
        </w:tc>
        <w:tc>
          <w:tcPr>
            <w:tcW w:w="1656" w:type="dxa"/>
            <w:vAlign w:val="center"/>
          </w:tcPr>
          <w:p w14:paraId="080941AF">
            <w:pPr>
              <w:pStyle w:val="5"/>
              <w:jc w:val="center"/>
              <w:rPr>
                <w:rFonts w:hint="eastAsia" w:ascii="仿宋" w:hAnsi="仿宋" w:eastAsia="仿宋" w:cs="仿宋"/>
              </w:rPr>
            </w:pPr>
            <w:r>
              <w:rPr>
                <w:rFonts w:hint="eastAsia" w:ascii="仿宋" w:hAnsi="仿宋" w:eastAsia="仿宋" w:cs="仿宋"/>
                <w:lang w:val="en-US" w:eastAsia="zh-CN"/>
              </w:rPr>
              <w:t>名称</w:t>
            </w:r>
          </w:p>
        </w:tc>
        <w:tc>
          <w:tcPr>
            <w:tcW w:w="1656" w:type="dxa"/>
            <w:vAlign w:val="center"/>
          </w:tcPr>
          <w:p w14:paraId="09839517">
            <w:pPr>
              <w:pStyle w:val="5"/>
              <w:jc w:val="center"/>
              <w:rPr>
                <w:rFonts w:hint="eastAsia" w:ascii="仿宋" w:hAnsi="仿宋" w:eastAsia="仿宋" w:cs="仿宋"/>
              </w:rPr>
            </w:pPr>
            <w:r>
              <w:rPr>
                <w:rFonts w:hint="eastAsia" w:ascii="楷体" w:hAnsi="楷体" w:eastAsia="楷体" w:cs="楷体"/>
                <w:b w:val="0"/>
                <w:bCs w:val="0"/>
                <w:color w:val="auto"/>
                <w:sz w:val="24"/>
                <w:szCs w:val="24"/>
                <w:highlight w:val="none"/>
                <w:shd w:val="clear" w:color="auto" w:fill="auto"/>
                <w:lang w:val="en-US" w:eastAsia="zh-CN"/>
              </w:rPr>
              <w:t>★</w:t>
            </w:r>
            <w:r>
              <w:rPr>
                <w:rFonts w:hint="eastAsia" w:ascii="仿宋" w:hAnsi="仿宋" w:eastAsia="仿宋" w:cs="仿宋"/>
                <w:lang w:val="en-US" w:eastAsia="zh-CN"/>
              </w:rPr>
              <w:t>医保耗材代码</w:t>
            </w:r>
            <w:r>
              <w:rPr>
                <w:rFonts w:hint="eastAsia" w:ascii="仿宋" w:hAnsi="仿宋" w:eastAsia="仿宋" w:cs="仿宋"/>
                <w:b w:val="0"/>
                <w:bCs w:val="0"/>
                <w:color w:val="auto"/>
                <w:sz w:val="20"/>
                <w:szCs w:val="20"/>
                <w:highlight w:val="none"/>
                <w:shd w:val="clear" w:color="auto" w:fill="auto"/>
                <w:lang w:val="en-US" w:eastAsia="zh-CN"/>
              </w:rPr>
              <w:t>（前九位）</w:t>
            </w:r>
          </w:p>
        </w:tc>
        <w:tc>
          <w:tcPr>
            <w:tcW w:w="2114" w:type="dxa"/>
            <w:vAlign w:val="center"/>
          </w:tcPr>
          <w:p w14:paraId="3FE12662">
            <w:pPr>
              <w:pStyle w:val="5"/>
              <w:jc w:val="center"/>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预期用途</w:t>
            </w:r>
          </w:p>
        </w:tc>
        <w:tc>
          <w:tcPr>
            <w:tcW w:w="1656" w:type="dxa"/>
            <w:vAlign w:val="center"/>
          </w:tcPr>
          <w:p w14:paraId="68F0E8ED">
            <w:pPr>
              <w:pStyle w:val="5"/>
              <w:jc w:val="center"/>
              <w:rPr>
                <w:rFonts w:hint="eastAsia" w:ascii="仿宋" w:hAnsi="仿宋" w:eastAsia="仿宋" w:cs="仿宋"/>
                <w:lang w:val="en-US" w:eastAsia="zh-CN"/>
              </w:rPr>
            </w:pPr>
            <w:r>
              <w:rPr>
                <w:rFonts w:hint="eastAsia" w:ascii="仿宋" w:hAnsi="仿宋" w:eastAsia="仿宋" w:cs="仿宋"/>
                <w:lang w:val="en-US" w:eastAsia="zh-CN"/>
              </w:rPr>
              <w:t>★适配机型</w:t>
            </w:r>
          </w:p>
        </w:tc>
        <w:tc>
          <w:tcPr>
            <w:tcW w:w="919" w:type="dxa"/>
            <w:vAlign w:val="center"/>
          </w:tcPr>
          <w:p w14:paraId="3787A7D9">
            <w:pPr>
              <w:pStyle w:val="5"/>
              <w:jc w:val="center"/>
              <w:rPr>
                <w:rFonts w:hint="eastAsia" w:ascii="仿宋" w:hAnsi="仿宋" w:eastAsia="仿宋" w:cs="仿宋"/>
                <w:highlight w:val="none"/>
                <w:lang w:val="en-US" w:eastAsia="zh-CN"/>
              </w:rPr>
            </w:pPr>
            <w:r>
              <w:rPr>
                <w:rFonts w:hint="eastAsia" w:ascii="仿宋" w:hAnsi="仿宋" w:eastAsia="仿宋" w:cs="仿宋"/>
                <w:highlight w:val="none"/>
              </w:rPr>
              <w:t>★</w:t>
            </w:r>
            <w:r>
              <w:rPr>
                <w:rFonts w:hint="eastAsia" w:ascii="仿宋" w:hAnsi="仿宋" w:eastAsia="仿宋" w:cs="仿宋"/>
                <w:highlight w:val="none"/>
                <w:lang w:val="en-US" w:eastAsia="zh-CN"/>
              </w:rPr>
              <w:t>是否提供样品</w:t>
            </w:r>
          </w:p>
        </w:tc>
      </w:tr>
      <w:tr w14:paraId="23E3CD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21" w:type="dxa"/>
            <w:vAlign w:val="center"/>
          </w:tcPr>
          <w:p w14:paraId="437CA116">
            <w:pPr>
              <w:pStyle w:val="5"/>
              <w:jc w:val="center"/>
              <w:rPr>
                <w:rFonts w:hint="eastAsia" w:ascii="仿宋" w:hAnsi="仿宋" w:eastAsia="仿宋" w:cs="仿宋"/>
                <w:sz w:val="21"/>
                <w:szCs w:val="21"/>
              </w:rPr>
            </w:pPr>
            <w:r>
              <w:rPr>
                <w:rFonts w:hint="eastAsia" w:ascii="仿宋" w:hAnsi="仿宋" w:eastAsia="仿宋" w:cs="仿宋"/>
                <w:sz w:val="21"/>
                <w:szCs w:val="21"/>
                <w:lang w:val="en-US" w:eastAsia="zh-CN"/>
              </w:rPr>
              <w:t>1</w:t>
            </w:r>
          </w:p>
        </w:tc>
        <w:tc>
          <w:tcPr>
            <w:tcW w:w="1656" w:type="dxa"/>
            <w:vAlign w:val="center"/>
          </w:tcPr>
          <w:p w14:paraId="3B75E85C">
            <w:pPr>
              <w:keepNext w:val="0"/>
              <w:keepLines w:val="0"/>
              <w:widowControl/>
              <w:suppressLineNumbers w:val="0"/>
              <w:jc w:val="center"/>
              <w:textAlignment w:val="center"/>
              <w:rPr>
                <w:rFonts w:hint="default" w:ascii="仿宋" w:hAnsi="仿宋" w:eastAsia="仿宋" w:cs="仿宋"/>
                <w:sz w:val="22"/>
                <w:szCs w:val="28"/>
                <w:lang w:val="en-US"/>
              </w:rPr>
            </w:pPr>
            <w:r>
              <w:rPr>
                <w:rFonts w:hint="eastAsia" w:ascii="仿宋" w:hAnsi="仿宋" w:eastAsia="仿宋" w:cs="仿宋"/>
                <w:b w:val="0"/>
                <w:bCs w:val="0"/>
                <w:color w:val="auto"/>
                <w:sz w:val="18"/>
                <w:szCs w:val="18"/>
                <w:highlight w:val="none"/>
                <w:shd w:val="clear" w:color="auto" w:fill="auto"/>
                <w:lang w:val="en-US" w:eastAsia="zh-CN"/>
              </w:rPr>
              <w:t>一氧化氮检测试剂盒</w:t>
            </w:r>
          </w:p>
        </w:tc>
        <w:tc>
          <w:tcPr>
            <w:tcW w:w="1656" w:type="dxa"/>
            <w:vAlign w:val="center"/>
          </w:tcPr>
          <w:p w14:paraId="17ED8CE3">
            <w:pPr>
              <w:keepNext w:val="0"/>
              <w:keepLines w:val="0"/>
              <w:widowControl/>
              <w:suppressLineNumbers w:val="0"/>
              <w:jc w:val="center"/>
              <w:textAlignment w:val="center"/>
              <w:rPr>
                <w:rFonts w:hint="eastAsia" w:ascii="仿宋" w:hAnsi="仿宋" w:eastAsia="仿宋" w:cs="仿宋"/>
                <w:sz w:val="22"/>
                <w:szCs w:val="28"/>
              </w:rPr>
            </w:pPr>
            <w:r>
              <w:rPr>
                <w:rFonts w:hint="eastAsia" w:ascii="仿宋" w:hAnsi="仿宋" w:eastAsia="仿宋" w:cs="仿宋"/>
                <w:sz w:val="22"/>
                <w:szCs w:val="28"/>
                <w:lang w:val="en-US" w:eastAsia="zh-CN"/>
              </w:rPr>
              <w:t>C140703183</w:t>
            </w:r>
          </w:p>
        </w:tc>
        <w:tc>
          <w:tcPr>
            <w:tcW w:w="2114" w:type="dxa"/>
            <w:vAlign w:val="center"/>
          </w:tcPr>
          <w:p w14:paraId="61570478">
            <w:pPr>
              <w:keepNext w:val="0"/>
              <w:keepLines w:val="0"/>
              <w:widowControl/>
              <w:suppressLineNumbers w:val="0"/>
              <w:jc w:val="left"/>
              <w:textAlignment w:val="center"/>
              <w:rPr>
                <w:rFonts w:hint="eastAsia" w:ascii="仿宋" w:hAnsi="仿宋" w:eastAsia="仿宋" w:cs="仿宋"/>
                <w:sz w:val="22"/>
                <w:szCs w:val="28"/>
              </w:rPr>
            </w:pPr>
            <w:r>
              <w:rPr>
                <w:rFonts w:hint="eastAsia" w:ascii="仿宋" w:hAnsi="仿宋" w:eastAsia="仿宋" w:cs="仿宋"/>
                <w:sz w:val="22"/>
                <w:szCs w:val="28"/>
                <w:lang w:val="en-US" w:eastAsia="zh-CN"/>
              </w:rPr>
              <w:t>用于呼出气体中的一氧化氮浓度检测，其浓度与炎症细胞数目高度相关联，可作为气道炎症生物标志物，对气道炎症进行很好的评价；</w:t>
            </w:r>
          </w:p>
        </w:tc>
        <w:tc>
          <w:tcPr>
            <w:tcW w:w="1656" w:type="dxa"/>
            <w:vAlign w:val="center"/>
          </w:tcPr>
          <w:p w14:paraId="1FF7ADC3">
            <w:pPr>
              <w:keepNext w:val="0"/>
              <w:keepLines w:val="0"/>
              <w:widowControl/>
              <w:suppressLineNumbers w:val="0"/>
              <w:jc w:val="left"/>
              <w:textAlignment w:val="center"/>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生产商：无锡市尚沃医疗电子股份有限公司；</w:t>
            </w:r>
          </w:p>
          <w:p w14:paraId="75A8671E">
            <w:pPr>
              <w:keepNext w:val="0"/>
              <w:keepLines w:val="0"/>
              <w:widowControl/>
              <w:suppressLineNumbers w:val="0"/>
              <w:jc w:val="left"/>
              <w:textAlignment w:val="center"/>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机器名称：一氧化氮呼吸检测仪；</w:t>
            </w:r>
          </w:p>
          <w:p w14:paraId="0D18205E">
            <w:pPr>
              <w:keepNext w:val="0"/>
              <w:keepLines w:val="0"/>
              <w:widowControl/>
              <w:suppressLineNumbers w:val="0"/>
              <w:jc w:val="left"/>
              <w:textAlignment w:val="center"/>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机器型号：Sunvou-CA2122。</w:t>
            </w:r>
          </w:p>
        </w:tc>
        <w:tc>
          <w:tcPr>
            <w:tcW w:w="919" w:type="dxa"/>
            <w:vAlign w:val="center"/>
          </w:tcPr>
          <w:p w14:paraId="456F8D57">
            <w:pPr>
              <w:keepNext w:val="0"/>
              <w:keepLines w:val="0"/>
              <w:widowControl/>
              <w:suppressLineNumbers w:val="0"/>
              <w:jc w:val="center"/>
              <w:textAlignment w:val="center"/>
              <w:rPr>
                <w:rFonts w:hint="default"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bl>
    <w:p w14:paraId="26FB9DAD">
      <w:pPr>
        <w:pStyle w:val="5"/>
        <w:jc w:val="left"/>
        <w:outlineLvl w:val="9"/>
        <w:rPr>
          <w:rFonts w:hint="eastAsia" w:ascii="仿宋" w:hAnsi="仿宋" w:eastAsia="仿宋" w:cs="仿宋"/>
          <w:b/>
          <w:sz w:val="28"/>
        </w:rPr>
      </w:pPr>
      <w:r>
        <w:rPr>
          <w:rFonts w:hint="eastAsia" w:ascii="仿宋" w:hAnsi="仿宋" w:eastAsia="仿宋" w:cs="仿宋"/>
          <w:b w:val="0"/>
          <w:kern w:val="2"/>
          <w:sz w:val="22"/>
          <w:szCs w:val="28"/>
          <w:lang w:val="en-US" w:eastAsia="zh-CN" w:bidi="ar-SA"/>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113F5152">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65F41719">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1107336A">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本项目所有标的均须提供挂网产品。</w:t>
      </w:r>
    </w:p>
    <w:p w14:paraId="542819D5">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注：本项目中所指“挂网产品”，为“四川省药品和医用耗材招采管理系统”中已挂网产品（不含正在挂网和备案的产品）。</w:t>
      </w:r>
    </w:p>
    <w:p w14:paraId="62DAEE9F">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二、样品要求</w:t>
      </w:r>
    </w:p>
    <w:p w14:paraId="26EE1E74">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1.必须提供样品，以供评审专家现场评审。</w:t>
      </w:r>
    </w:p>
    <w:p w14:paraId="31121665">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p>
    <w:p w14:paraId="6F2B1289">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3.本项目竞选人提供的样品，应与该竞选人响应文件保持一致（具体参考《医疗器械说明书和标签管理规定》）。</w:t>
      </w:r>
    </w:p>
    <w:p w14:paraId="4F30FA01">
      <w:pPr>
        <w:ind w:firstLine="442" w:firstLineChars="200"/>
        <w:jc w:val="left"/>
        <w:textAlignment w:val="center"/>
        <w:rPr>
          <w:rFonts w:hint="default" w:ascii="仿宋" w:hAnsi="仿宋" w:eastAsia="仿宋" w:cs="仿宋"/>
          <w:b/>
          <w:bCs/>
          <w:color w:val="000000"/>
          <w:kern w:val="0"/>
          <w:sz w:val="22"/>
          <w:szCs w:val="22"/>
          <w:highlight w:val="yellow"/>
          <w:u w:val="none"/>
          <w:lang w:val="en-US" w:eastAsia="zh-CN" w:bidi="ar"/>
        </w:rPr>
      </w:pPr>
      <w:r>
        <w:rPr>
          <w:rFonts w:hint="eastAsia" w:ascii="仿宋" w:hAnsi="仿宋" w:eastAsia="仿宋" w:cs="仿宋"/>
          <w:b/>
          <w:bCs/>
          <w:color w:val="000000"/>
          <w:kern w:val="0"/>
          <w:sz w:val="22"/>
          <w:szCs w:val="22"/>
          <w:highlight w:val="yellow"/>
          <w:u w:val="none"/>
          <w:lang w:val="en-US" w:eastAsia="zh-CN" w:bidi="ar"/>
        </w:rPr>
        <w:t>注：样品包装需完整，样品评审时将由采购代理机构拍照留存，作为后期验收的依据。</w:t>
      </w:r>
    </w:p>
    <w:p w14:paraId="3683C65C">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三、商务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5522C997">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7A607A12">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（1）交货期：每次配送时间必须严格按照采购人配送通知执行，成交供应商应于收到通知后2小时内响应。急救耗材的配送时间不应超过4小时，一般耗材原则上的配送时间不应超过2个工作日；</w:t>
      </w:r>
    </w:p>
    <w:p w14:paraId="18BF163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（2）交货地点：内江</w:t>
      </w:r>
      <w:r>
        <w:rPr>
          <w:rFonts w:hint="eastAsia" w:ascii="仿宋" w:hAnsi="仿宋" w:eastAsia="仿宋" w:cs="仿宋"/>
          <w:color w:val="000000"/>
          <w:kern w:val="0"/>
          <w:sz w:val="22"/>
          <w:szCs w:val="22"/>
          <w:u w:val="none"/>
          <w:lang w:val="en-US" w:eastAsia="zh-CN" w:bidi="ar"/>
        </w:rPr>
        <w:t>市第一人民医院指定地点。</w:t>
      </w:r>
    </w:p>
    <w:p w14:paraId="74F41CCA">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61E29D0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（1）结算方式：货款按实结算且由双方协商决定；</w:t>
      </w:r>
    </w:p>
    <w:p w14:paraId="2A529254">
      <w:pPr>
        <w:ind w:firstLine="440" w:firstLineChars="200"/>
        <w:jc w:val="left"/>
        <w:textAlignment w:val="center"/>
        <w:rPr>
          <w:rFonts w:hint="eastAsia" w:ascii="仿宋" w:hAnsi="仿宋" w:eastAsia="仿宋" w:cs="仿宋"/>
          <w:sz w:val="24"/>
          <w:szCs w:val="24"/>
          <w:lang w:val="en-US" w:eastAsia="zh-CN"/>
        </w:rPr>
      </w:pPr>
      <w:r>
        <w:rPr>
          <w:rFonts w:hint="eastAsia" w:ascii="仿宋" w:hAnsi="仿宋" w:eastAsia="仿宋" w:cs="仿宋"/>
          <w:color w:val="000000"/>
          <w:kern w:val="0"/>
          <w:sz w:val="22"/>
          <w:szCs w:val="22"/>
          <w:u w:val="none"/>
          <w:lang w:val="en-US" w:eastAsia="zh-CN" w:bidi="ar"/>
        </w:rPr>
        <w:t>（2）成交价格包含成本、运输、包装、培训、配送、伴随服务、税费及其他附加费用</w:t>
      </w:r>
      <w:r>
        <w:rPr>
          <w:rFonts w:hint="eastAsia" w:ascii="仿宋" w:hAnsi="仿宋" w:eastAsia="仿宋" w:cs="仿宋"/>
          <w:sz w:val="24"/>
          <w:szCs w:val="24"/>
          <w:lang w:val="en-US" w:eastAsia="zh-CN"/>
        </w:rPr>
        <w:t>。</w:t>
      </w:r>
    </w:p>
    <w:p w14:paraId="0D04DF71">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3.医用耗材质量保证</w:t>
      </w:r>
    </w:p>
    <w:p w14:paraId="06EDF3B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（1）成交供应商须提供原厂生产的未曾使用过的、全新的合格的货品（含配套配件等），表面无划伤、无破损痕迹，且权属清楚，不得侵害他人的合法权利；</w:t>
      </w:r>
    </w:p>
    <w:p w14:paraId="06A8425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供应商所提供货品须符合或优于国家（行业）标准、本项目竞选文件要求及响应文件响应内容。当响应文件响应内容与竞选文件要求不一致时，以响应文件响应内容为准。当响应文件响应内容与国家标准、行业标准（若有）不一致时，以较高标准为准；</w:t>
      </w:r>
    </w:p>
    <w:p w14:paraId="0C55A7F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（3）成交供应商提供货品的设计技术专利、外形专利等均应符合我国有关法律法规及行业标准，凡因以上问题与第三方发生的任何纠纷均与采购人无关；</w:t>
      </w:r>
    </w:p>
    <w:p w14:paraId="6658FEA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（4）成交供应商保证其提供货品的安全可靠性。在正常使用下不应对使用者造成任何人身伤害，如因产品质量或标示不明确而对使用者造成损失的，由成交供应商承担相应责任；</w:t>
      </w:r>
    </w:p>
    <w:p w14:paraId="6AE108D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3923DBD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（6）成交供应商保证所供耗材有效期不低于1年，自通过最终验收之日起，确保采购人在使用耗材的过程中安全、有效。</w:t>
      </w:r>
    </w:p>
    <w:p w14:paraId="471B0913">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4.验收</w:t>
      </w:r>
    </w:p>
    <w:p w14:paraId="671DB1C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按照《财政部关于进一步加强政府采购需求和履约验收管理的指导意见》（财库〔2016〕205号）的要求以及采购人竞选文件的质量要求和技术指标、成交供应商的响应文件及承诺（若有）、国家（行业）标准、本合同约定标准进行验收；</w:t>
      </w:r>
    </w:p>
    <w:p w14:paraId="1AD1D89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p>
    <w:p w14:paraId="0287903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p>
    <w:p w14:paraId="19CAD650">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5.售后服务</w:t>
      </w:r>
    </w:p>
    <w:p w14:paraId="0AFABC5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要求成交供应商必须严格按照竞选文件要求和响应文件中的承诺提供配送服务。如果配送的医用耗材规格、包装等信息与中标产品的规格、包装等信息不一致并不同意更换的，或配送的医用耗材和中标产品不一致的，采购人有权终止合同；</w:t>
      </w:r>
    </w:p>
    <w:p w14:paraId="5F0B042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（2）要求成交供应商指派专人负责与采购人联系售后服务事宜；在响应文件中列明售后联系人及联系电话；</w:t>
      </w:r>
    </w:p>
    <w:p w14:paraId="4AA2CDD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03C53F2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（4）耗材临近失效期，采购人提前三个月向成交供应商提出更换，成交供应商须在耗材失效前一个月更换完毕，不得以任何理由进行推诿；</w:t>
      </w:r>
    </w:p>
    <w:p w14:paraId="225DDAB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（5）成交供应商必须随货提供其具备医疗器械经营企业的有关合法有效的手续（包括但不限于）：</w:t>
      </w:r>
    </w:p>
    <w:p w14:paraId="4A9B396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5.1产品所涉及逐级授权经销商的医疗器械生产（经营）许可证或生产（经营）企业备案表；</w:t>
      </w:r>
    </w:p>
    <w:p w14:paraId="34C32D0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5.2医疗器械产品注册证或备案凭证；</w:t>
      </w:r>
    </w:p>
    <w:p w14:paraId="168A919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5.3医疗器械生产企业许可证；</w:t>
      </w:r>
    </w:p>
    <w:p w14:paraId="556EC91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5.4经销商获得的委托授权书（逐级）；</w:t>
      </w:r>
    </w:p>
    <w:p w14:paraId="3CF8151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5.5产品所涉及逐级授权经销商的企业法人营业执照。</w:t>
      </w:r>
    </w:p>
    <w:p w14:paraId="49A3E62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5.6采购人要求提供的相关资料。</w:t>
      </w:r>
    </w:p>
    <w:p w14:paraId="673E7B2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成交供应商或厂家原因无法按上述要求执行的，则采购人可以解除与成交供应商在成交合同中对该产品的采购相关约定。</w:t>
      </w:r>
    </w:p>
    <w:p w14:paraId="63D753E7">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584755B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（1）成交供应商须严格按照《商品包装政府采购需求标准(试行)》、《快递包装政府采购需求标准(试行)》(财办库〔2020〕123 号)的要求进行产品及相关快递服务的包装； </w:t>
      </w:r>
    </w:p>
    <w:p w14:paraId="160A309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成交供应商应当按照约定的方式交付标的物。对于包装方式没有约定或者约定不明确的，应当按照通用的方式包装；没有通用方式的，应当采取足以保护标的物且有利于节约资源，保护生态环境的包装方式； </w:t>
      </w:r>
    </w:p>
    <w:p w14:paraId="7FCDFE8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（3）本次采购的标的物需要运输，成交供应商在合同约定的时间内将标的物运输至合同约定地点。</w:t>
      </w:r>
    </w:p>
    <w:p w14:paraId="2EC62DAB">
      <w:pPr>
        <w:pStyle w:val="5"/>
        <w:jc w:val="left"/>
        <w:outlineLvl w:val="1"/>
        <w:rPr>
          <w:rFonts w:hint="eastAsia" w:ascii="仿宋" w:hAnsi="仿宋" w:eastAsia="仿宋" w:cs="仿宋"/>
        </w:rPr>
      </w:pPr>
      <w:r>
        <w:rPr>
          <w:rFonts w:hint="eastAsia" w:ascii="仿宋" w:hAnsi="仿宋" w:eastAsia="仿宋" w:cs="仿宋"/>
          <w:b/>
          <w:sz w:val="28"/>
        </w:rPr>
        <w:t>3.4.其他要求</w:t>
      </w:r>
    </w:p>
    <w:p w14:paraId="79262672">
      <w:pPr>
        <w:pStyle w:val="5"/>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74508EF4">
      <w:pPr>
        <w:pStyle w:val="5"/>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068CCC9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（1）成交供应商逾期15日内不能提供采购人所需医用耗材的，应向采购人每日支付该批次货款千分之三的违约金。</w:t>
      </w:r>
    </w:p>
    <w:p w14:paraId="7377088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（2）成交供应商逾期15日及以上不能交付以上产品的，视同不能供货，须向采购人支付该批次货款的10%的违约金，同时采购人可以单方面解除本合同。</w:t>
      </w:r>
    </w:p>
    <w:p w14:paraId="53367C1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（3）若因成交供应商原因造成采购人被监管部门通报三次及以上的或者造成采购人违规采购，采购人有权单方面解除本合同。同时</w:t>
      </w:r>
      <w:r>
        <w:rPr>
          <w:rFonts w:hint="default"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t>采购人有权要求成交供应商支付该批货物价款20%的违约金。</w:t>
      </w:r>
    </w:p>
    <w:p w14:paraId="4AFB0EE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成交供应商销售的产品若发生严重医疗不良事件或被国家法定检测机构检测为不合格产品，视为成交供应商违约导致不能实现本合同目的，采购人有权单方面解除本合同，并要求成交供应商限期收回不合格产品，并要求成交供应商需承担合同价款20%的违约金，违约金不足以弥补采购人损失的，成交供应商还应当承补足。即使产品已经验收入库（或安装调试完毕）后，采购人才发现产品为不合格产品的，也视为成交供应商违约，成交供应商应当承担本条约定的责任。同时采购人有权退回库存产品。</w:t>
      </w:r>
    </w:p>
    <w:p w14:paraId="10F7BCD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（5）若根据法律规定或本协议约定产生采购人退、换货或拒绝收货情形，由成交供应商承担退换货产生的各项税、费或其他支出。</w:t>
      </w:r>
    </w:p>
    <w:p w14:paraId="70F93FA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（6）成交供应商不能保证及时供货，除应当向采购人承担违约责任外，采购人仍有权单方面解除本合同。</w:t>
      </w:r>
    </w:p>
    <w:p w14:paraId="4CCF289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（7）因成交供应商提供的产品不合格造成采购人或第三人人身损害或财产损失的，由成交供应商承担赔偿责任。</w:t>
      </w:r>
    </w:p>
    <w:p w14:paraId="71A72C5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8）若因成交供应商原因造成采购人挂网执行存在问题以及线上支付不及时、造成采购人未挂网采购的或者存在其他问题的，成交供应商应承担违约责任，且采购人有权要求成交供应商支付该批货物价款20%的违约金，采购人有权单方面解除合同。</w:t>
      </w:r>
    </w:p>
    <w:p w14:paraId="1A4B4852">
      <w:pPr>
        <w:pStyle w:val="5"/>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1.2解决合同纠纷的方式</w:t>
      </w:r>
    </w:p>
    <w:p w14:paraId="1B3252A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（1）因货物的质量问题发生的争议，由法定质量鉴定机构或其认可的质量鉴定机构进行质量鉴定。货物符合标准的，鉴定费由采购人承担；货物不符合质量标准的，鉴定费由成交供应商承担。</w:t>
      </w:r>
    </w:p>
    <w:p w14:paraId="4CA5AC4A">
      <w:pPr>
        <w:ind w:firstLine="440" w:firstLineChars="200"/>
        <w:jc w:val="left"/>
        <w:textAlignment w:val="center"/>
        <w:rPr>
          <w:rFonts w:hint="default"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u w:val="none"/>
          <w:lang w:val="en-US" w:eastAsia="zh-CN" w:bidi="ar"/>
        </w:rPr>
        <w:t>（2）合同</w:t>
      </w:r>
      <w:r>
        <w:rPr>
          <w:rFonts w:hint="eastAsia" w:ascii="仿宋" w:hAnsi="仿宋" w:eastAsia="仿宋" w:cs="仿宋"/>
          <w:color w:val="000000"/>
          <w:kern w:val="0"/>
          <w:sz w:val="22"/>
          <w:szCs w:val="22"/>
          <w:highlight w:val="none"/>
          <w:u w:val="none"/>
          <w:lang w:val="en-US" w:eastAsia="zh-CN" w:bidi="ar"/>
        </w:rPr>
        <w:t>履行期间，若双方发生争议，可协商或由有关部门调解解决，协商或调解不成的，可向采购人所在地人民法院依法提起诉讼。</w:t>
      </w:r>
    </w:p>
    <w:p w14:paraId="5F4ECE39">
      <w:pPr>
        <w:pStyle w:val="5"/>
        <w:ind w:firstLine="480"/>
        <w:jc w:val="left"/>
        <w:rPr>
          <w:rFonts w:hint="eastAsia" w:ascii="Times New Roman" w:hAnsi="Times New Roman" w:eastAsia="仿宋" w:cs="Times New Roman"/>
          <w:color w:val="auto"/>
          <w:sz w:val="24"/>
          <w:szCs w:val="24"/>
          <w:highlight w:val="none"/>
          <w:shd w:val="clear" w:color="auto" w:fill="auto"/>
          <w:lang w:val="en-US" w:eastAsia="zh-CN"/>
        </w:rPr>
      </w:pPr>
      <w:r>
        <w:rPr>
          <w:rFonts w:hint="eastAsia" w:ascii="仿宋" w:hAnsi="仿宋" w:eastAsia="仿宋" w:cs="仿宋"/>
          <w:b/>
          <w:bCs/>
          <w:sz w:val="24"/>
          <w:szCs w:val="24"/>
          <w:highlight w:val="none"/>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none"/>
          <w:u w:val="none"/>
          <w:lang w:val="en-US" w:eastAsia="zh-CN" w:bidi="ar"/>
        </w:rPr>
        <w:t>2年；</w:t>
      </w:r>
    </w:p>
    <w:p w14:paraId="7C74F8F4">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bCs/>
          <w:sz w:val="24"/>
          <w:szCs w:val="24"/>
          <w:highlight w:val="none"/>
          <w:lang w:val="en-US" w:eastAsia="zh-CN"/>
        </w:rPr>
        <w:t>3.支付方式：</w:t>
      </w:r>
      <w:r>
        <w:rPr>
          <w:rFonts w:hint="eastAsia" w:ascii="仿宋" w:hAnsi="仿宋" w:eastAsia="仿宋" w:cs="仿宋"/>
          <w:color w:val="000000"/>
          <w:kern w:val="0"/>
          <w:sz w:val="22"/>
          <w:szCs w:val="22"/>
          <w:highlight w:val="none"/>
          <w:u w:val="none"/>
          <w:lang w:val="en-US" w:eastAsia="zh-CN" w:bidi="ar"/>
        </w:rPr>
        <w:t>双方协商确定。</w:t>
      </w:r>
    </w:p>
    <w:p w14:paraId="74C15B05">
      <w:pPr>
        <w:pStyle w:val="5"/>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highlight w:val="none"/>
          <w:lang w:val="en-US" w:eastAsia="zh-CN"/>
        </w:rPr>
        <w:t>4.</w:t>
      </w:r>
      <w:r>
        <w:rPr>
          <w:rFonts w:hint="default" w:ascii="仿宋" w:hAnsi="仿宋" w:eastAsia="仿宋" w:cs="仿宋"/>
          <w:b/>
          <w:bCs/>
          <w:sz w:val="24"/>
          <w:szCs w:val="24"/>
          <w:highlight w:val="none"/>
          <w:lang w:val="en-US" w:eastAsia="zh-CN"/>
        </w:rPr>
        <w:t>履约验收程序</w:t>
      </w:r>
      <w:r>
        <w:rPr>
          <w:rFonts w:hint="eastAsia" w:ascii="仿宋" w:hAnsi="仿宋" w:eastAsia="仿宋" w:cs="仿宋"/>
          <w:b/>
          <w:bCs/>
          <w:sz w:val="24"/>
          <w:szCs w:val="24"/>
          <w:highlight w:val="none"/>
          <w:lang w:val="en-US" w:eastAsia="zh-CN"/>
        </w:rPr>
        <w:t>：</w:t>
      </w:r>
      <w:r>
        <w:rPr>
          <w:rFonts w:hint="eastAsia" w:ascii="仿宋" w:hAnsi="仿宋" w:eastAsia="仿宋" w:cs="仿宋"/>
          <w:color w:val="000000"/>
          <w:kern w:val="0"/>
          <w:sz w:val="22"/>
          <w:szCs w:val="22"/>
          <w:highlight w:val="none"/>
          <w:u w:val="none"/>
          <w:lang w:val="en-US" w:eastAsia="zh-CN" w:bidi="ar"/>
        </w:rPr>
        <w:t>分批次</w:t>
      </w:r>
      <w:r>
        <w:rPr>
          <w:rFonts w:hint="eastAsia" w:ascii="仿宋" w:hAnsi="仿宋" w:eastAsia="仿宋" w:cs="仿宋"/>
          <w:color w:val="000000"/>
          <w:kern w:val="0"/>
          <w:sz w:val="22"/>
          <w:szCs w:val="22"/>
          <w:u w:val="none"/>
          <w:lang w:val="en-US" w:eastAsia="zh-CN" w:bidi="ar"/>
        </w:rPr>
        <w:t>验收。</w:t>
      </w:r>
    </w:p>
    <w:p w14:paraId="7C730A9A">
      <w:pPr>
        <w:pStyle w:val="5"/>
        <w:ind w:firstLine="480"/>
        <w:jc w:val="left"/>
      </w:pPr>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color w:val="000000"/>
          <w:kern w:val="0"/>
          <w:sz w:val="22"/>
          <w:szCs w:val="22"/>
          <w:u w:val="none"/>
          <w:lang w:val="en-US" w:eastAsia="zh-CN" w:bidi="ar"/>
        </w:rPr>
        <w:t>合同期限内，根据</w:t>
      </w:r>
      <w:r>
        <w:rPr>
          <w:rFonts w:hint="eastAsia" w:ascii="仿宋" w:hAnsi="仿宋" w:eastAsia="仿宋" w:cs="仿宋"/>
          <w:color w:val="000000"/>
          <w:kern w:val="0"/>
          <w:sz w:val="22"/>
          <w:szCs w:val="22"/>
          <w:u w:val="none"/>
          <w:lang w:val="en-US" w:eastAsia="zh-CN" w:bidi="ar"/>
        </w:rPr>
        <w:t>采购人</w:t>
      </w:r>
      <w:r>
        <w:rPr>
          <w:rFonts w:hint="default" w:ascii="仿宋" w:hAnsi="仿宋" w:eastAsia="仿宋" w:cs="仿宋"/>
          <w:color w:val="000000"/>
          <w:kern w:val="0"/>
          <w:sz w:val="22"/>
          <w:szCs w:val="22"/>
          <w:u w:val="none"/>
          <w:lang w:val="en-US" w:eastAsia="zh-CN" w:bidi="ar"/>
        </w:rPr>
        <w:t>要求分批次送货，完成送货、验收入库视为验收完成</w:t>
      </w: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ACE595C"/>
    <w:rsid w:val="2AC25434"/>
    <w:rsid w:val="312E4E5B"/>
    <w:rsid w:val="315A6BEC"/>
    <w:rsid w:val="368372FD"/>
    <w:rsid w:val="3E441D93"/>
    <w:rsid w:val="4EC52984"/>
    <w:rsid w:val="6B311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3812</Words>
  <Characters>3899</Characters>
  <Lines>0</Lines>
  <Paragraphs>0</Paragraphs>
  <TotalTime>4</TotalTime>
  <ScaleCrop>false</ScaleCrop>
  <LinksUpToDate>false</LinksUpToDate>
  <CharactersWithSpaces>3904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郑yueJun</cp:lastModifiedBy>
  <dcterms:modified xsi:type="dcterms:W3CDTF">2025-04-07T08:54:31Z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eyJoZGlkIjoiNGNhMWE3NTkxNzZmNGI1MDVkZjYwMjhiNGQ2YjQxMDkiLCJ1c2VySWQiOiI0ODI5Njk1NDgifQ==</vt:lpwstr>
  </property>
  <property fmtid="{D5CDD505-2E9C-101B-9397-08002B2CF9AE}" pid="4" name="ICV">
    <vt:lpwstr>98802F3E8CB64106A92F8AE6C0B69EC9_13</vt:lpwstr>
  </property>
</Properties>
</file>