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8525D">
      <w:pPr>
        <w:pStyle w:val="7"/>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0850A5A1">
      <w:pPr>
        <w:pStyle w:val="7"/>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，不满足作无效投标处理</w:t>
      </w:r>
      <w:r>
        <w:rPr>
          <w:rFonts w:hint="eastAsia" w:ascii="仿宋" w:hAnsi="仿宋" w:eastAsia="仿宋" w:cs="仿宋"/>
          <w:highlight w:val="none"/>
        </w:rPr>
        <w:t>。）</w:t>
      </w:r>
    </w:p>
    <w:p w14:paraId="048B5B3D">
      <w:pPr>
        <w:pStyle w:val="7"/>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26EEB938">
      <w:pPr>
        <w:pStyle w:val="7"/>
        <w:jc w:val="left"/>
        <w:outlineLvl w:val="9"/>
        <w:rPr>
          <w:rFonts w:hint="eastAsia" w:ascii="仿宋" w:hAnsi="仿宋" w:eastAsia="仿宋" w:cs="仿宋"/>
          <w:b/>
          <w:bCs/>
          <w:i w:val="0"/>
          <w:iCs w:val="0"/>
        </w:rPr>
      </w:pPr>
      <w:r>
        <w:rPr>
          <w:rFonts w:hint="eastAsia" w:ascii="仿宋" w:hAnsi="仿宋" w:eastAsia="仿宋" w:cs="仿宋"/>
          <w:b/>
          <w:bCs/>
          <w:i w:val="0"/>
          <w:iCs w:val="0"/>
          <w:sz w:val="24"/>
          <w:szCs w:val="24"/>
        </w:rPr>
        <w:t>采购包1：</w:t>
      </w:r>
    </w:p>
    <w:tbl>
      <w:tblPr>
        <w:tblStyle w:val="4"/>
        <w:tblW w:w="50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25"/>
        <w:gridCol w:w="2041"/>
        <w:gridCol w:w="1382"/>
        <w:gridCol w:w="1384"/>
        <w:gridCol w:w="1384"/>
        <w:gridCol w:w="1557"/>
      </w:tblGrid>
      <w:tr w14:paraId="62A787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239" w:type="pct"/>
            <w:vAlign w:val="center"/>
          </w:tcPr>
          <w:p w14:paraId="02BB9C39">
            <w:pPr>
              <w:pStyle w:val="7"/>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包号</w:t>
            </w:r>
          </w:p>
        </w:tc>
        <w:tc>
          <w:tcPr>
            <w:tcW w:w="302" w:type="pct"/>
            <w:vAlign w:val="center"/>
          </w:tcPr>
          <w:p w14:paraId="66E3CC6A">
            <w:pPr>
              <w:pStyle w:val="7"/>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编号</w:t>
            </w:r>
          </w:p>
        </w:tc>
        <w:tc>
          <w:tcPr>
            <w:tcW w:w="1174" w:type="pct"/>
            <w:vAlign w:val="center"/>
          </w:tcPr>
          <w:p w14:paraId="77075FDB">
            <w:pPr>
              <w:pStyle w:val="7"/>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标的名称</w:t>
            </w:r>
          </w:p>
        </w:tc>
        <w:tc>
          <w:tcPr>
            <w:tcW w:w="795" w:type="pct"/>
            <w:vAlign w:val="center"/>
          </w:tcPr>
          <w:p w14:paraId="1A7F1A8D">
            <w:pPr>
              <w:pStyle w:val="7"/>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★单价（元）</w:t>
            </w:r>
          </w:p>
        </w:tc>
        <w:tc>
          <w:tcPr>
            <w:tcW w:w="796" w:type="pct"/>
            <w:vAlign w:val="center"/>
          </w:tcPr>
          <w:p w14:paraId="285C8CA2">
            <w:pPr>
              <w:pStyle w:val="7"/>
              <w:jc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预估数量</w:t>
            </w:r>
          </w:p>
        </w:tc>
        <w:tc>
          <w:tcPr>
            <w:tcW w:w="796" w:type="pct"/>
            <w:vAlign w:val="center"/>
          </w:tcPr>
          <w:p w14:paraId="4C869DBD">
            <w:pPr>
              <w:pStyle w:val="7"/>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★计量单位</w:t>
            </w:r>
          </w:p>
        </w:tc>
        <w:tc>
          <w:tcPr>
            <w:tcW w:w="895" w:type="pct"/>
            <w:vAlign w:val="center"/>
          </w:tcPr>
          <w:p w14:paraId="725678FE">
            <w:pPr>
              <w:pStyle w:val="7"/>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最高限价（元）</w:t>
            </w:r>
          </w:p>
        </w:tc>
      </w:tr>
      <w:tr w14:paraId="0C26B3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57" w:hRule="atLeast"/>
          <w:jc w:val="center"/>
        </w:trPr>
        <w:tc>
          <w:tcPr>
            <w:tcW w:w="239" w:type="pct"/>
            <w:vAlign w:val="center"/>
          </w:tcPr>
          <w:p w14:paraId="7D3C3679">
            <w:pPr>
              <w:pStyle w:val="7"/>
              <w:jc w:val="center"/>
              <w:rPr>
                <w:rFonts w:hint="default"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w:t>
            </w:r>
          </w:p>
        </w:tc>
        <w:tc>
          <w:tcPr>
            <w:tcW w:w="302" w:type="pct"/>
            <w:vAlign w:val="center"/>
          </w:tcPr>
          <w:p w14:paraId="71CA85A7">
            <w:pPr>
              <w:pStyle w:val="7"/>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w:t>
            </w:r>
          </w:p>
        </w:tc>
        <w:tc>
          <w:tcPr>
            <w:tcW w:w="1174" w:type="pct"/>
            <w:vAlign w:val="center"/>
          </w:tcPr>
          <w:p w14:paraId="1179C66D">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i w:val="0"/>
                <w:iCs w:val="0"/>
                <w:color w:val="000000"/>
                <w:kern w:val="0"/>
                <w:sz w:val="20"/>
                <w:szCs w:val="20"/>
                <w:highlight w:val="none"/>
                <w:u w:val="none"/>
                <w:lang w:val="en-US" w:eastAsia="zh-CN" w:bidi="ar"/>
              </w:rPr>
              <w:t>一次性电子输尿管肾盂内窥镜导管</w:t>
            </w:r>
          </w:p>
        </w:tc>
        <w:tc>
          <w:tcPr>
            <w:tcW w:w="795" w:type="pct"/>
            <w:vAlign w:val="center"/>
          </w:tcPr>
          <w:p w14:paraId="0552ED06">
            <w:pPr>
              <w:keepNext w:val="0"/>
              <w:keepLines w:val="0"/>
              <w:widowControl/>
              <w:suppressLineNumbers w:val="0"/>
              <w:jc w:val="center"/>
              <w:textAlignment w:val="center"/>
              <w:rPr>
                <w:rFonts w:hint="default" w:ascii="仿宋" w:hAnsi="仿宋" w:eastAsia="仿宋" w:cs="仿宋"/>
                <w:sz w:val="22"/>
                <w:szCs w:val="28"/>
                <w:highlight w:val="none"/>
                <w:lang w:val="en-US" w:eastAsia="zh-CN"/>
              </w:rPr>
            </w:pPr>
            <w:r>
              <w:rPr>
                <w:rFonts w:hint="eastAsia" w:ascii="仿宋" w:hAnsi="仿宋" w:eastAsia="仿宋" w:cs="仿宋"/>
                <w:b w:val="0"/>
                <w:bCs w:val="0"/>
                <w:color w:val="auto"/>
                <w:sz w:val="20"/>
                <w:szCs w:val="20"/>
                <w:highlight w:val="none"/>
                <w:shd w:val="clear" w:color="auto" w:fill="auto"/>
                <w:lang w:val="en-US" w:eastAsia="zh-CN"/>
              </w:rPr>
              <w:t>1800</w:t>
            </w:r>
          </w:p>
        </w:tc>
        <w:tc>
          <w:tcPr>
            <w:tcW w:w="796" w:type="pct"/>
            <w:vAlign w:val="center"/>
          </w:tcPr>
          <w:p w14:paraId="490F773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b w:val="0"/>
                <w:bCs w:val="0"/>
                <w:color w:val="auto"/>
                <w:sz w:val="20"/>
                <w:szCs w:val="20"/>
                <w:highlight w:val="none"/>
                <w:shd w:val="clear" w:color="auto" w:fill="auto"/>
                <w:lang w:val="en-US" w:eastAsia="zh-CN"/>
              </w:rPr>
              <w:t>36</w:t>
            </w:r>
          </w:p>
        </w:tc>
        <w:tc>
          <w:tcPr>
            <w:tcW w:w="796" w:type="pct"/>
            <w:vAlign w:val="center"/>
          </w:tcPr>
          <w:p w14:paraId="6E424DE8">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b w:val="0"/>
                <w:bCs w:val="0"/>
                <w:color w:val="auto"/>
                <w:sz w:val="20"/>
                <w:szCs w:val="20"/>
                <w:highlight w:val="none"/>
                <w:shd w:val="clear" w:color="auto" w:fill="auto"/>
                <w:lang w:val="en-US" w:eastAsia="zh-CN"/>
              </w:rPr>
              <w:t>根</w:t>
            </w:r>
          </w:p>
        </w:tc>
        <w:tc>
          <w:tcPr>
            <w:tcW w:w="895" w:type="pct"/>
            <w:vAlign w:val="center"/>
          </w:tcPr>
          <w:p w14:paraId="614CF1EB">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b w:val="0"/>
                <w:bCs w:val="0"/>
                <w:color w:val="auto"/>
                <w:sz w:val="20"/>
                <w:szCs w:val="20"/>
                <w:highlight w:val="none"/>
                <w:shd w:val="clear" w:color="auto" w:fill="auto"/>
                <w:lang w:val="en-US" w:eastAsia="zh-CN"/>
              </w:rPr>
              <w:t>64800</w:t>
            </w:r>
          </w:p>
        </w:tc>
      </w:tr>
    </w:tbl>
    <w:p w14:paraId="179EBDA3">
      <w:pPr>
        <w:pStyle w:val="7"/>
        <w:ind w:firstLine="480"/>
        <w:jc w:val="left"/>
        <w:rPr>
          <w:rFonts w:hint="eastAsia" w:ascii="仿宋" w:hAnsi="仿宋" w:eastAsia="仿宋" w:cs="仿宋"/>
          <w:highlight w:val="none"/>
        </w:rPr>
      </w:pPr>
      <w:r>
        <w:rPr>
          <w:rFonts w:hint="eastAsia" w:ascii="仿宋" w:hAnsi="仿宋" w:eastAsia="仿宋" w:cs="仿宋"/>
          <w:highlight w:val="none"/>
        </w:rPr>
        <w:t>★注：</w:t>
      </w:r>
      <w:r>
        <w:rPr>
          <w:rFonts w:hint="eastAsia" w:ascii="仿宋" w:hAnsi="仿宋" w:eastAsia="仿宋" w:cs="仿宋"/>
          <w:highlight w:val="none"/>
          <w:lang w:eastAsia="zh-CN"/>
        </w:rPr>
        <w:t>竞选人</w:t>
      </w:r>
      <w:r>
        <w:rPr>
          <w:rFonts w:hint="eastAsia" w:ascii="仿宋" w:hAnsi="仿宋" w:eastAsia="仿宋" w:cs="仿宋"/>
          <w:highlight w:val="none"/>
        </w:rPr>
        <w:t>响应产品应当明确品牌和规格型号并指向唯一产品，不能指向唯一产品的，应通过报价表唯一产品说明栏补充说明。</w:t>
      </w:r>
    </w:p>
    <w:p w14:paraId="4FC78A64">
      <w:pPr>
        <w:pStyle w:val="7"/>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3.2.技术要求</w:t>
      </w:r>
    </w:p>
    <w:p w14:paraId="7196B1CD">
      <w:pPr>
        <w:pStyle w:val="7"/>
        <w:jc w:val="left"/>
        <w:outlineLvl w:val="9"/>
        <w:rPr>
          <w:rFonts w:hint="eastAsia" w:ascii="仿宋" w:hAnsi="仿宋" w:eastAsia="仿宋" w:cs="仿宋"/>
          <w:b/>
          <w:bCs/>
          <w:sz w:val="22"/>
          <w:szCs w:val="22"/>
          <w:highlight w:val="none"/>
        </w:rPr>
      </w:pPr>
      <w:r>
        <w:rPr>
          <w:rFonts w:hint="eastAsia" w:ascii="仿宋" w:hAnsi="仿宋" w:eastAsia="仿宋" w:cs="仿宋"/>
          <w:b/>
          <w:bCs/>
          <w:sz w:val="22"/>
          <w:szCs w:val="22"/>
          <w:highlight w:val="none"/>
        </w:rPr>
        <w:t>采购包1：</w:t>
      </w:r>
    </w:p>
    <w:tbl>
      <w:tblPr>
        <w:tblStyle w:val="4"/>
        <w:tblW w:w="917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72"/>
        <w:gridCol w:w="1296"/>
        <w:gridCol w:w="695"/>
        <w:gridCol w:w="2192"/>
        <w:gridCol w:w="3281"/>
        <w:gridCol w:w="1241"/>
      </w:tblGrid>
      <w:tr w14:paraId="537A8D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7" w:hRule="atLeast"/>
        </w:trPr>
        <w:tc>
          <w:tcPr>
            <w:tcW w:w="0" w:type="auto"/>
            <w:vAlign w:val="center"/>
          </w:tcPr>
          <w:p w14:paraId="1BE2BA99">
            <w:pPr>
              <w:pStyle w:val="7"/>
              <w:keepNext w:val="0"/>
              <w:keepLines w:val="0"/>
              <w:pageBreakBefore w:val="0"/>
              <w:widowControl/>
              <w:kinsoku/>
              <w:wordWrap w:val="0"/>
              <w:overflowPunct/>
              <w:topLinePunct/>
              <w:autoSpaceDE/>
              <w:autoSpaceDN/>
              <w:bidi w:val="0"/>
              <w:adjustRightInd/>
              <w:snapToGrid/>
              <w:jc w:val="center"/>
              <w:textAlignment w:val="auto"/>
              <w:rPr>
                <w:rFonts w:hint="eastAsia" w:ascii="仿宋" w:hAnsi="仿宋" w:eastAsia="仿宋" w:cs="仿宋"/>
                <w:highlight w:val="none"/>
              </w:rPr>
            </w:pPr>
            <w:r>
              <w:rPr>
                <w:rFonts w:hint="eastAsia" w:ascii="仿宋" w:hAnsi="仿宋" w:eastAsia="仿宋" w:cs="仿宋"/>
                <w:highlight w:val="none"/>
              </w:rPr>
              <w:t>序号</w:t>
            </w:r>
          </w:p>
        </w:tc>
        <w:tc>
          <w:tcPr>
            <w:tcW w:w="0" w:type="auto"/>
            <w:vAlign w:val="center"/>
          </w:tcPr>
          <w:p w14:paraId="1A24C9C7">
            <w:pPr>
              <w:pStyle w:val="7"/>
              <w:keepNext w:val="0"/>
              <w:keepLines w:val="0"/>
              <w:pageBreakBefore w:val="0"/>
              <w:widowControl/>
              <w:kinsoku/>
              <w:wordWrap w:val="0"/>
              <w:overflowPunct/>
              <w:topLinePunct/>
              <w:autoSpaceDE/>
              <w:autoSpaceDN/>
              <w:bidi w:val="0"/>
              <w:adjustRightInd/>
              <w:snapToGrid/>
              <w:jc w:val="center"/>
              <w:textAlignment w:val="auto"/>
              <w:rPr>
                <w:rFonts w:hint="eastAsia" w:ascii="仿宋" w:hAnsi="仿宋" w:eastAsia="仿宋" w:cs="仿宋"/>
                <w:highlight w:val="none"/>
              </w:rPr>
            </w:pPr>
            <w:r>
              <w:rPr>
                <w:rFonts w:hint="eastAsia" w:ascii="仿宋" w:hAnsi="仿宋" w:eastAsia="仿宋" w:cs="仿宋"/>
                <w:highlight w:val="none"/>
                <w:lang w:val="en-US" w:eastAsia="zh-CN"/>
              </w:rPr>
              <w:t>名称</w:t>
            </w:r>
          </w:p>
        </w:tc>
        <w:tc>
          <w:tcPr>
            <w:tcW w:w="0" w:type="auto"/>
            <w:vAlign w:val="center"/>
          </w:tcPr>
          <w:p w14:paraId="6424B517">
            <w:pPr>
              <w:pStyle w:val="7"/>
              <w:keepNext w:val="0"/>
              <w:keepLines w:val="0"/>
              <w:pageBreakBefore w:val="0"/>
              <w:widowControl/>
              <w:kinsoku/>
              <w:wordWrap w:val="0"/>
              <w:overflowPunct/>
              <w:topLinePunct/>
              <w:autoSpaceDE/>
              <w:autoSpaceDN/>
              <w:bidi w:val="0"/>
              <w:adjustRightInd/>
              <w:snapToGrid/>
              <w:jc w:val="center"/>
              <w:textAlignment w:val="auto"/>
              <w:rPr>
                <w:rFonts w:hint="eastAsia" w:ascii="仿宋" w:hAnsi="仿宋" w:eastAsia="仿宋" w:cs="仿宋"/>
                <w:highlight w:val="none"/>
              </w:rPr>
            </w:pPr>
            <w:r>
              <w:rPr>
                <w:rFonts w:hint="eastAsia" w:ascii="仿宋" w:hAnsi="仿宋" w:eastAsia="仿宋" w:cs="仿宋"/>
                <w:highlight w:val="none"/>
                <w:lang w:val="en-US" w:eastAsia="zh-CN"/>
              </w:rPr>
              <w:t>医保耗材代码</w:t>
            </w:r>
          </w:p>
        </w:tc>
        <w:tc>
          <w:tcPr>
            <w:tcW w:w="0" w:type="auto"/>
            <w:vAlign w:val="center"/>
          </w:tcPr>
          <w:p w14:paraId="0BD2EDF5">
            <w:pPr>
              <w:pStyle w:val="7"/>
              <w:keepNext w:val="0"/>
              <w:keepLines w:val="0"/>
              <w:pageBreakBefore w:val="0"/>
              <w:widowControl/>
              <w:kinsoku/>
              <w:wordWrap w:val="0"/>
              <w:overflowPunct/>
              <w:topLinePunct/>
              <w:autoSpaceDE/>
              <w:autoSpaceDN/>
              <w:bidi w:val="0"/>
              <w:adjustRightInd/>
              <w:snapToGrid/>
              <w:jc w:val="center"/>
              <w:textAlignment w:val="auto"/>
              <w:rPr>
                <w:rFonts w:hint="eastAsia" w:ascii="仿宋" w:hAnsi="仿宋" w:eastAsia="仿宋" w:cs="仿宋"/>
                <w:highlight w:val="none"/>
              </w:rPr>
            </w:pPr>
            <w:r>
              <w:rPr>
                <w:rFonts w:hint="eastAsia" w:ascii="仿宋" w:hAnsi="仿宋" w:eastAsia="仿宋" w:cs="仿宋"/>
                <w:highlight w:val="none"/>
              </w:rPr>
              <w:t>★</w:t>
            </w:r>
            <w:r>
              <w:rPr>
                <w:rFonts w:hint="eastAsia" w:ascii="仿宋" w:hAnsi="仿宋" w:eastAsia="仿宋" w:cs="仿宋"/>
                <w:highlight w:val="none"/>
                <w:lang w:val="en-US" w:eastAsia="zh-CN"/>
              </w:rPr>
              <w:t>用途</w:t>
            </w:r>
          </w:p>
        </w:tc>
        <w:tc>
          <w:tcPr>
            <w:tcW w:w="3281" w:type="dxa"/>
            <w:vAlign w:val="center"/>
          </w:tcPr>
          <w:p w14:paraId="1ACC51BA">
            <w:pPr>
              <w:pStyle w:val="7"/>
              <w:keepNext w:val="0"/>
              <w:keepLines w:val="0"/>
              <w:pageBreakBefore w:val="0"/>
              <w:widowControl/>
              <w:kinsoku/>
              <w:wordWrap w:val="0"/>
              <w:overflowPunct/>
              <w:topLinePunct/>
              <w:autoSpaceDE/>
              <w:autoSpaceDN/>
              <w:bidi w:val="0"/>
              <w:adjustRightInd/>
              <w:snapToGrid/>
              <w:jc w:val="center"/>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参考型号</w:t>
            </w:r>
          </w:p>
        </w:tc>
        <w:tc>
          <w:tcPr>
            <w:tcW w:w="1241" w:type="dxa"/>
            <w:vAlign w:val="center"/>
          </w:tcPr>
          <w:p w14:paraId="67ED2B90">
            <w:pPr>
              <w:pStyle w:val="7"/>
              <w:keepNext w:val="0"/>
              <w:keepLines w:val="0"/>
              <w:pageBreakBefore w:val="0"/>
              <w:widowControl/>
              <w:kinsoku/>
              <w:wordWrap w:val="0"/>
              <w:overflowPunct/>
              <w:topLinePunct/>
              <w:autoSpaceDE/>
              <w:autoSpaceDN/>
              <w:bidi w:val="0"/>
              <w:adjustRightInd/>
              <w:snapToGrid/>
              <w:jc w:val="center"/>
              <w:textAlignment w:val="auto"/>
              <w:rPr>
                <w:rFonts w:hint="eastAsia" w:ascii="仿宋" w:hAnsi="仿宋" w:eastAsia="仿宋" w:cs="仿宋"/>
                <w:highlight w:val="none"/>
                <w:lang w:val="en-US" w:eastAsia="zh-CN"/>
              </w:rPr>
            </w:pPr>
            <w:r>
              <w:rPr>
                <w:rFonts w:hint="eastAsia" w:ascii="仿宋" w:hAnsi="仿宋" w:eastAsia="仿宋" w:cs="仿宋"/>
                <w:highlight w:val="none"/>
              </w:rPr>
              <w:t>★</w:t>
            </w:r>
            <w:r>
              <w:rPr>
                <w:rFonts w:hint="eastAsia" w:ascii="仿宋" w:hAnsi="仿宋" w:eastAsia="仿宋" w:cs="仿宋"/>
                <w:highlight w:val="none"/>
                <w:lang w:val="en-US" w:eastAsia="zh-CN"/>
              </w:rPr>
              <w:t>是否提供样品</w:t>
            </w:r>
          </w:p>
        </w:tc>
      </w:tr>
      <w:tr w14:paraId="22FF75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0" w:type="auto"/>
            <w:vAlign w:val="center"/>
          </w:tcPr>
          <w:p w14:paraId="32ADA145">
            <w:pPr>
              <w:pStyle w:val="7"/>
              <w:keepNext w:val="0"/>
              <w:keepLines w:val="0"/>
              <w:pageBreakBefore w:val="0"/>
              <w:widowControl/>
              <w:kinsoku/>
              <w:wordWrap w:val="0"/>
              <w:overflowPunct/>
              <w:topLinePunct/>
              <w:autoSpaceDE/>
              <w:autoSpaceDN/>
              <w:bidi w:val="0"/>
              <w:adjustRightInd/>
              <w:snapToGrid/>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lang w:val="en-US" w:eastAsia="zh-CN"/>
              </w:rPr>
              <w:t>1</w:t>
            </w:r>
          </w:p>
        </w:tc>
        <w:tc>
          <w:tcPr>
            <w:tcW w:w="0" w:type="auto"/>
            <w:vAlign w:val="center"/>
          </w:tcPr>
          <w:p w14:paraId="075624F5">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default" w:ascii="仿宋" w:hAnsi="仿宋" w:eastAsia="仿宋" w:cs="仿宋"/>
                <w:sz w:val="22"/>
                <w:szCs w:val="28"/>
                <w:highlight w:val="none"/>
                <w:lang w:val="en-US"/>
              </w:rPr>
            </w:pPr>
            <w:r>
              <w:rPr>
                <w:rFonts w:hint="default" w:ascii="仿宋" w:hAnsi="仿宋" w:eastAsia="仿宋" w:cs="仿宋"/>
                <w:sz w:val="22"/>
                <w:szCs w:val="28"/>
                <w:highlight w:val="none"/>
                <w:lang w:val="en-US" w:eastAsia="zh-CN"/>
              </w:rPr>
              <w:t>一次性电子输尿管肾盂内窥镜导管</w:t>
            </w:r>
          </w:p>
        </w:tc>
        <w:tc>
          <w:tcPr>
            <w:tcW w:w="0" w:type="auto"/>
            <w:vAlign w:val="center"/>
          </w:tcPr>
          <w:p w14:paraId="063E9B98">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eastAsia" w:ascii="仿宋" w:hAnsi="仿宋" w:eastAsia="仿宋" w:cs="仿宋"/>
                <w:sz w:val="22"/>
                <w:szCs w:val="28"/>
                <w:highlight w:val="none"/>
              </w:rPr>
            </w:pPr>
            <w:r>
              <w:rPr>
                <w:rFonts w:hint="eastAsia" w:ascii="仿宋" w:hAnsi="仿宋" w:eastAsia="仿宋" w:cs="仿宋"/>
                <w:sz w:val="22"/>
                <w:szCs w:val="28"/>
                <w:highlight w:val="none"/>
                <w:lang w:val="en-US" w:eastAsia="zh-CN"/>
              </w:rPr>
              <w:t>C010317004</w:t>
            </w:r>
          </w:p>
        </w:tc>
        <w:tc>
          <w:tcPr>
            <w:tcW w:w="0" w:type="auto"/>
            <w:vAlign w:val="center"/>
          </w:tcPr>
          <w:p w14:paraId="54A8B61D">
            <w:pPr>
              <w:keepNext w:val="0"/>
              <w:keepLines w:val="0"/>
              <w:pageBreakBefore w:val="0"/>
              <w:widowControl/>
              <w:suppressLineNumbers w:val="0"/>
              <w:kinsoku/>
              <w:wordWrap w:val="0"/>
              <w:overflowPunct/>
              <w:topLinePunct/>
              <w:autoSpaceDE/>
              <w:autoSpaceDN/>
              <w:bidi w:val="0"/>
              <w:adjustRightInd/>
              <w:snapToGrid/>
              <w:jc w:val="left"/>
              <w:textAlignment w:val="auto"/>
              <w:rPr>
                <w:rFonts w:hint="eastAsia" w:ascii="仿宋" w:hAnsi="仿宋" w:eastAsia="仿宋" w:cs="仿宋"/>
                <w:sz w:val="22"/>
                <w:szCs w:val="28"/>
                <w:highlight w:val="none"/>
              </w:rPr>
            </w:pPr>
            <w:r>
              <w:rPr>
                <w:rFonts w:hint="eastAsia" w:ascii="仿宋" w:hAnsi="仿宋" w:eastAsia="仿宋" w:cs="仿宋"/>
                <w:sz w:val="22"/>
                <w:szCs w:val="28"/>
                <w:highlight w:val="none"/>
                <w:lang w:val="en-US" w:eastAsia="zh-CN"/>
              </w:rPr>
              <w:t>应用于泌尿系统上尿路的输尿管、肾盂的检查、诊断与治疗。</w:t>
            </w:r>
          </w:p>
        </w:tc>
        <w:tc>
          <w:tcPr>
            <w:tcW w:w="3281" w:type="dxa"/>
            <w:vAlign w:val="center"/>
          </w:tcPr>
          <w:p w14:paraId="4841F0CB">
            <w:pPr>
              <w:keepNext w:val="0"/>
              <w:keepLines w:val="0"/>
              <w:pageBreakBefore w:val="0"/>
              <w:widowControl/>
              <w:suppressLineNumbers w:val="0"/>
              <w:kinsoku/>
              <w:wordWrap w:val="0"/>
              <w:overflowPunct/>
              <w:topLinePunct/>
              <w:autoSpaceDE/>
              <w:autoSpaceDN/>
              <w:bidi w:val="0"/>
              <w:adjustRightInd/>
              <w:snapToGrid/>
              <w:jc w:val="left"/>
              <w:textAlignment w:val="auto"/>
              <w:rPr>
                <w:rFonts w:hint="default" w:ascii="仿宋" w:hAnsi="仿宋" w:eastAsia="仿宋" w:cs="仿宋"/>
                <w:sz w:val="22"/>
                <w:szCs w:val="28"/>
                <w:highlight w:val="none"/>
                <w:lang w:val="en-US" w:eastAsia="zh-CN"/>
              </w:rPr>
            </w:pPr>
            <w:r>
              <w:rPr>
                <w:rFonts w:hint="default" w:ascii="仿宋" w:hAnsi="仿宋" w:eastAsia="仿宋" w:cs="仿宋"/>
                <w:sz w:val="22"/>
                <w:szCs w:val="28"/>
                <w:highlight w:val="none"/>
                <w:lang w:val="en-US" w:eastAsia="zh-CN"/>
              </w:rPr>
              <w:t>参考型号1：540mm*310mm*60mm；</w:t>
            </w:r>
          </w:p>
          <w:p w14:paraId="774E1026">
            <w:pPr>
              <w:keepNext w:val="0"/>
              <w:keepLines w:val="0"/>
              <w:pageBreakBefore w:val="0"/>
              <w:widowControl/>
              <w:suppressLineNumbers w:val="0"/>
              <w:kinsoku/>
              <w:wordWrap w:val="0"/>
              <w:overflowPunct/>
              <w:topLinePunct/>
              <w:autoSpaceDE/>
              <w:autoSpaceDN/>
              <w:bidi w:val="0"/>
              <w:adjustRightInd/>
              <w:snapToGrid/>
              <w:jc w:val="left"/>
              <w:textAlignment w:val="auto"/>
              <w:rPr>
                <w:rFonts w:hint="default" w:ascii="仿宋" w:hAnsi="仿宋" w:eastAsia="仿宋" w:cs="仿宋"/>
                <w:sz w:val="22"/>
                <w:szCs w:val="28"/>
                <w:highlight w:val="none"/>
                <w:lang w:val="en-US" w:eastAsia="zh-CN"/>
              </w:rPr>
            </w:pPr>
            <w:r>
              <w:rPr>
                <w:rFonts w:hint="default" w:ascii="仿宋" w:hAnsi="仿宋" w:eastAsia="仿宋" w:cs="仿宋"/>
                <w:sz w:val="22"/>
                <w:szCs w:val="28"/>
                <w:highlight w:val="none"/>
                <w:lang w:val="en-US" w:eastAsia="zh-CN"/>
              </w:rPr>
              <w:t>参考型号2：镜体工作长度≥670 mm；插入部（软性部分）的外径2.85mm；器械通道≥Φ1.2mm</w:t>
            </w:r>
            <w:r>
              <w:rPr>
                <w:rFonts w:hint="eastAsia" w:ascii="仿宋" w:hAnsi="仿宋" w:eastAsia="仿宋" w:cs="仿宋"/>
                <w:sz w:val="22"/>
                <w:szCs w:val="28"/>
                <w:highlight w:val="none"/>
                <w:lang w:val="en-US" w:eastAsia="zh-CN"/>
              </w:rPr>
              <w:t>。</w:t>
            </w:r>
          </w:p>
        </w:tc>
        <w:tc>
          <w:tcPr>
            <w:tcW w:w="1241" w:type="dxa"/>
            <w:vAlign w:val="center"/>
          </w:tcPr>
          <w:p w14:paraId="19A86483">
            <w:pPr>
              <w:keepNext w:val="0"/>
              <w:keepLines w:val="0"/>
              <w:pageBreakBefore w:val="0"/>
              <w:widowControl/>
              <w:suppressLineNumbers w:val="0"/>
              <w:kinsoku/>
              <w:wordWrap w:val="0"/>
              <w:overflowPunct/>
              <w:topLinePunct/>
              <w:autoSpaceDE/>
              <w:autoSpaceDN/>
              <w:bidi w:val="0"/>
              <w:adjustRightInd/>
              <w:snapToGrid/>
              <w:jc w:val="center"/>
              <w:textAlignment w:val="auto"/>
              <w:rPr>
                <w:rFonts w:hint="default"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bl>
    <w:p w14:paraId="4FF9362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284259FE">
      <w:pPr>
        <w:keepNext w:val="0"/>
        <w:keepLines w:val="0"/>
        <w:pageBreakBefore w:val="0"/>
        <w:widowControl w:val="0"/>
        <w:kinsoku/>
        <w:wordWrap/>
        <w:overflowPunct/>
        <w:topLinePunct w:val="0"/>
        <w:autoSpaceDE/>
        <w:autoSpaceDN/>
        <w:bidi w:val="0"/>
        <w:adjustRightInd/>
        <w:snapToGrid/>
        <w:ind w:firstLine="482" w:firstLineChars="200"/>
        <w:jc w:val="left"/>
        <w:textAlignment w:val="auto"/>
        <w:rPr>
          <w:rFonts w:hint="eastAsia" w:ascii="仿宋" w:hAnsi="仿宋" w:eastAsia="仿宋" w:cs="仿宋"/>
          <w:b/>
          <w:bCs/>
          <w:color w:val="000000"/>
          <w:kern w:val="0"/>
          <w:sz w:val="24"/>
          <w:szCs w:val="24"/>
          <w:u w:val="none"/>
          <w:lang w:val="en-US" w:eastAsia="zh-CN" w:bidi="ar"/>
        </w:rPr>
      </w:pPr>
      <w:r>
        <w:rPr>
          <w:rFonts w:hint="eastAsia" w:ascii="仿宋" w:hAnsi="仿宋" w:eastAsia="仿宋" w:cs="仿宋"/>
          <w:b/>
          <w:bCs/>
          <w:color w:val="000000"/>
          <w:kern w:val="0"/>
          <w:sz w:val="24"/>
          <w:szCs w:val="24"/>
          <w:u w:val="none"/>
          <w:lang w:val="en-US" w:eastAsia="zh-CN" w:bidi="ar"/>
        </w:rPr>
        <w:t>挂网需求</w:t>
      </w:r>
    </w:p>
    <w:p w14:paraId="534E1DCD">
      <w:pPr>
        <w:keepNext w:val="0"/>
        <w:keepLines w:val="0"/>
        <w:pageBreakBefore w:val="0"/>
        <w:widowControl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本项目所有标的均须提供挂网产品。</w:t>
      </w:r>
    </w:p>
    <w:p w14:paraId="57936CFC">
      <w:pPr>
        <w:keepNext w:val="0"/>
        <w:keepLines w:val="0"/>
        <w:pageBreakBefore w:val="0"/>
        <w:widowControl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注：本项目中所指“挂网产品”，为“四川省药品和医用耗材招采管理系统”中已挂网产品（不含正在挂网和备案的产品）。</w:t>
      </w:r>
    </w:p>
    <w:p w14:paraId="097D00E6">
      <w:pPr>
        <w:keepNext w:val="0"/>
        <w:keepLines w:val="0"/>
        <w:pageBreakBefore w:val="0"/>
        <w:widowControl w:val="0"/>
        <w:kinsoku/>
        <w:wordWrap/>
        <w:overflowPunct/>
        <w:topLinePunct w:val="0"/>
        <w:autoSpaceDE/>
        <w:autoSpaceDN/>
        <w:bidi w:val="0"/>
        <w:adjustRightInd/>
        <w:snapToGrid/>
        <w:ind w:firstLine="482" w:firstLineChars="200"/>
        <w:jc w:val="left"/>
        <w:textAlignment w:val="auto"/>
        <w:rPr>
          <w:rFonts w:hint="eastAsia" w:ascii="仿宋" w:hAnsi="仿宋" w:eastAsia="仿宋" w:cs="仿宋"/>
          <w:b/>
          <w:bCs/>
          <w:color w:val="000000"/>
          <w:kern w:val="0"/>
          <w:sz w:val="24"/>
          <w:szCs w:val="24"/>
          <w:u w:val="none"/>
          <w:lang w:val="en-US" w:eastAsia="zh-CN" w:bidi="ar"/>
        </w:rPr>
      </w:pPr>
      <w:r>
        <w:rPr>
          <w:rFonts w:hint="eastAsia" w:ascii="仿宋" w:hAnsi="仿宋" w:eastAsia="仿宋" w:cs="仿宋"/>
          <w:b/>
          <w:bCs/>
          <w:color w:val="000000"/>
          <w:kern w:val="0"/>
          <w:sz w:val="24"/>
          <w:szCs w:val="24"/>
          <w:u w:val="none"/>
          <w:lang w:val="en-US" w:eastAsia="zh-CN" w:bidi="ar"/>
        </w:rPr>
        <w:t>样品要求</w:t>
      </w:r>
    </w:p>
    <w:p w14:paraId="101959AD">
      <w:pPr>
        <w:keepNext w:val="0"/>
        <w:keepLines w:val="0"/>
        <w:pageBreakBefore w:val="0"/>
        <w:widowControl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1.必须提供样品，以供评审专家现场评审。</w:t>
      </w:r>
    </w:p>
    <w:p w14:paraId="57BDDACC">
      <w:pPr>
        <w:keepNext w:val="0"/>
        <w:keepLines w:val="0"/>
        <w:pageBreakBefore w:val="0"/>
        <w:widowControl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2.提交的样品不符合实际需求或存在原理错误则视为无效响应。</w:t>
      </w:r>
    </w:p>
    <w:p w14:paraId="1D134CB3">
      <w:pPr>
        <w:keepNext w:val="0"/>
        <w:keepLines w:val="0"/>
        <w:pageBreakBefore w:val="0"/>
        <w:widowControl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3.本项目投标人提供的样品，应与该投标人响应文件保持一致（具体参考《医疗器械说明书和标签管理规定》）。</w:t>
      </w:r>
    </w:p>
    <w:p w14:paraId="73FD9E0C">
      <w:pPr>
        <w:keepNext w:val="0"/>
        <w:keepLines w:val="0"/>
        <w:pageBreakBefore w:val="0"/>
        <w:widowControl w:val="0"/>
        <w:kinsoku/>
        <w:wordWrap/>
        <w:overflowPunct/>
        <w:topLinePunct w:val="0"/>
        <w:autoSpaceDE/>
        <w:autoSpaceDN/>
        <w:bidi w:val="0"/>
        <w:adjustRightInd/>
        <w:snapToGrid/>
        <w:ind w:firstLine="482" w:firstLineChars="200"/>
        <w:jc w:val="left"/>
        <w:textAlignment w:val="auto"/>
        <w:rPr>
          <w:rFonts w:hint="eastAsia" w:ascii="仿宋" w:hAnsi="仿宋" w:eastAsia="仿宋" w:cs="仿宋"/>
          <w:b/>
          <w:bCs/>
          <w:color w:val="000000"/>
          <w:kern w:val="0"/>
          <w:sz w:val="24"/>
          <w:szCs w:val="24"/>
          <w:u w:val="none"/>
          <w:lang w:val="en-US" w:eastAsia="zh-CN" w:bidi="ar"/>
        </w:rPr>
      </w:pPr>
      <w:r>
        <w:rPr>
          <w:rFonts w:hint="eastAsia" w:ascii="仿宋" w:hAnsi="仿宋" w:eastAsia="仿宋" w:cs="仿宋"/>
          <w:b/>
          <w:bCs/>
          <w:color w:val="000000"/>
          <w:kern w:val="0"/>
          <w:sz w:val="24"/>
          <w:szCs w:val="24"/>
          <w:u w:val="none"/>
          <w:lang w:val="en-US" w:eastAsia="zh-CN" w:bidi="ar"/>
        </w:rPr>
        <w:t>商务要求</w:t>
      </w:r>
    </w:p>
    <w:p w14:paraId="4D54890C">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1.交货期及地点</w:t>
      </w:r>
    </w:p>
    <w:p w14:paraId="32BC1B58">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（1）交货期：每次配送时间必须严格按照采购人配送通知执行，中标人应于收到通知后2小时内响应。急救耗材的配送时间不应超过4小时，一般耗材原则上的配送时间不应超过2个工作日。</w:t>
      </w:r>
    </w:p>
    <w:p w14:paraId="609C3829">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（2）交货地点：内江市第一人民医院指定地点。</w:t>
      </w:r>
    </w:p>
    <w:p w14:paraId="5CD05287">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2.付款方法和条件</w:t>
      </w:r>
    </w:p>
    <w:p w14:paraId="0597AF36">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（1）结算方式：货款按实结算且由双方协商决定。</w:t>
      </w:r>
    </w:p>
    <w:p w14:paraId="7BB76D23">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（2）成交价格包含成本、运输、包装、培训、配送、伴随服务、税费及其他附加费用。</w:t>
      </w:r>
    </w:p>
    <w:p w14:paraId="7F1CD367">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3.医用耗材质量保证</w:t>
      </w:r>
    </w:p>
    <w:p w14:paraId="589E3A2F">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（1）中标人须提供原厂生产的未曾使用过的、全新的合格的货品（含配套配件等），表面无划伤、无破损痕迹，且权属清楚，不得侵害他人的合法权利。</w:t>
      </w:r>
    </w:p>
    <w:p w14:paraId="31DB56F0">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1EEC1A1D">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（3）中标人提供货品的设计技术专利、外形专利等均应符合我国有关法律法规及行业标准，凡因以上问题与第三方发生的任何纠纷，由中标人承担全部责任，中标人还应负责赔偿采购人由此而遭受的全部损失。</w:t>
      </w:r>
    </w:p>
    <w:p w14:paraId="30A7B0DB">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（4）中标人保证其提供货品的安全可靠性。在正常使用下不应对使用者造成任何人身伤害，如因产品质量或标示不明确而对使用者造成损失的，由中标人承担相应责任。</w:t>
      </w:r>
    </w:p>
    <w:p w14:paraId="1D984859">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57CA747D">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（6）中标人保证所供耗材有效期不低于1年，自通过最终验收之日起，确保采购人在使用耗材的过程中安全、有效。</w:t>
      </w:r>
    </w:p>
    <w:p w14:paraId="496C6E0E">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4.验收</w:t>
      </w:r>
    </w:p>
    <w:p w14:paraId="2370524E">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55DB9D5C">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3F0A8CBF">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20BB8AA3">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（4）其他未尽事宜严格按照《财政部关于进一步加强政府采购需求和履约验收管理的指导意见》（财库〔2016〕205号）的要求进行。</w:t>
      </w:r>
    </w:p>
    <w:p w14:paraId="1E935AB2">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5.售后服务</w:t>
      </w:r>
    </w:p>
    <w:p w14:paraId="62B05D37">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要求中标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0F496E90">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（2）要求中标人指派专人负责与采购人联系售后服务事宜；在投标文件中列明售后联系人及联系电话。</w:t>
      </w:r>
    </w:p>
    <w:p w14:paraId="18BFE655">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07F34315">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（4）耗材临近失效期，采购人提前三个月向中标人提出更换，中标人须在耗材失效前一个月更换完毕，不得以任何理由进行推诿。</w:t>
      </w:r>
    </w:p>
    <w:p w14:paraId="70E213DD">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（5）中标人必须随货提供其具备医疗器械经营企业的有关合法有效的手续（包括但不限于）：</w:t>
      </w:r>
    </w:p>
    <w:p w14:paraId="6B14DDAD">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1).产品所涉及逐级授权经销商的医疗器械生产（经营）许可证或生产（经营）企业备案表；</w:t>
      </w:r>
    </w:p>
    <w:p w14:paraId="095D708D">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2).医疗器械产品注册证或备案凭证；</w:t>
      </w:r>
    </w:p>
    <w:p w14:paraId="123AB435">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3).医疗器械生产企业许可证；</w:t>
      </w:r>
    </w:p>
    <w:p w14:paraId="786F542A">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4).经销商获得的委托授权书（逐级）；</w:t>
      </w:r>
    </w:p>
    <w:p w14:paraId="338EC93B">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5).产品所涉及逐级授权经销商的企业法人营业执照。</w:t>
      </w:r>
    </w:p>
    <w:p w14:paraId="039BCB0F">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6).采购人要求提供的相关资料。</w:t>
      </w:r>
    </w:p>
    <w:p w14:paraId="2F49E1FE">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标人或厂家原因无法按上述要求执行的，则采购人可以解除与中标人在成交合同中对该产品的采购相关约定。</w:t>
      </w:r>
    </w:p>
    <w:p w14:paraId="4B5E2363">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6.包装和运输 </w:t>
      </w:r>
    </w:p>
    <w:p w14:paraId="4B2E8FB7">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（1）中标人须严格按照《商品包装政府采购需求标准(试行)》、《快递包装政府采购需 求标准(试行)》(财办库〔2020〕123 号)的要求进行产品及相关快递服务的包装。 </w:t>
      </w:r>
    </w:p>
    <w:p w14:paraId="08E1BE67">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（2）中标人应当按照约定的方式交付标的物。对于包装方式没有约定或者约定不明确的，应当按照通用的方式包装；没有通用方式的，应当采取足以保护标的物且有利于节约资源，保护生态环境的包装方式。 </w:t>
      </w:r>
    </w:p>
    <w:p w14:paraId="6CAE6F7B">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（3）本次采购的标的物需要运输，中标人在合同约定的时间内将标的物运输至合同约定地点。</w:t>
      </w:r>
    </w:p>
    <w:p w14:paraId="726F8F0F">
      <w:pPr>
        <w:keepNext w:val="0"/>
        <w:keepLines w:val="0"/>
        <w:pageBreakBefore w:val="0"/>
        <w:kinsoku/>
        <w:wordWrap/>
        <w:overflowPunct/>
        <w:topLinePunct w:val="0"/>
        <w:autoSpaceDE/>
        <w:autoSpaceDN/>
        <w:bidi w:val="0"/>
        <w:adjustRightInd/>
        <w:snapToGrid/>
        <w:ind w:firstLine="440" w:firstLineChars="200"/>
        <w:jc w:val="left"/>
        <w:textAlignment w:val="auto"/>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7.在合同续存期内，中标人须提供相关设施、设备，以确保临床科室对本合同内耗材的正常使用。</w:t>
      </w:r>
    </w:p>
    <w:p w14:paraId="77C6361B">
      <w:pPr>
        <w:pStyle w:val="7"/>
        <w:keepNext w:val="0"/>
        <w:keepLines w:val="0"/>
        <w:pageBreakBefore w:val="0"/>
        <w:kinsoku/>
        <w:wordWrap/>
        <w:overflowPunct/>
        <w:topLinePunct w:val="0"/>
        <w:autoSpaceDE/>
        <w:autoSpaceDN/>
        <w:bidi w:val="0"/>
        <w:adjustRightInd/>
        <w:snapToGrid/>
        <w:jc w:val="left"/>
        <w:textAlignment w:val="auto"/>
        <w:outlineLvl w:val="1"/>
        <w:rPr>
          <w:rFonts w:hint="eastAsia" w:ascii="仿宋" w:hAnsi="仿宋" w:eastAsia="仿宋" w:cs="仿宋"/>
        </w:rPr>
      </w:pPr>
      <w:r>
        <w:rPr>
          <w:rFonts w:hint="eastAsia" w:ascii="仿宋" w:hAnsi="仿宋" w:eastAsia="仿宋" w:cs="仿宋"/>
          <w:b/>
          <w:sz w:val="28"/>
        </w:rPr>
        <w:t>3.4.其他要求</w:t>
      </w:r>
    </w:p>
    <w:p w14:paraId="468D4DB8">
      <w:pPr>
        <w:pStyle w:val="7"/>
        <w:keepNext w:val="0"/>
        <w:keepLines w:val="0"/>
        <w:pageBreakBefore w:val="0"/>
        <w:kinsoku/>
        <w:wordWrap/>
        <w:overflowPunct/>
        <w:topLinePunct w:val="0"/>
        <w:autoSpaceDE/>
        <w:autoSpaceDN/>
        <w:bidi w:val="0"/>
        <w:adjustRightInd/>
        <w:snapToGrid/>
        <w:spacing w:line="240" w:lineRule="auto"/>
        <w:ind w:firstLine="482" w:firstLineChars="200"/>
        <w:jc w:val="left"/>
        <w:textAlignment w:val="auto"/>
        <w:outlineLvl w:val="9"/>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4F0914DF">
      <w:pPr>
        <w:keepNext w:val="0"/>
        <w:keepLines w:val="0"/>
        <w:pageBreakBefore w:val="0"/>
        <w:widowControl w:val="0"/>
        <w:kinsoku/>
        <w:wordWrap/>
        <w:overflowPunct/>
        <w:topLinePunct w:val="0"/>
        <w:autoSpaceDE/>
        <w:autoSpaceDN/>
        <w:bidi w:val="0"/>
        <w:adjustRightInd/>
        <w:snapToGrid/>
        <w:spacing w:line="240" w:lineRule="auto"/>
        <w:ind w:firstLine="482" w:firstLineChars="200"/>
        <w:jc w:val="left"/>
        <w:textAlignment w:val="auto"/>
        <w:outlineLvl w:val="9"/>
        <w:rPr>
          <w:rFonts w:hint="eastAsia" w:ascii="Times New Roman" w:hAnsi="Times New Roman" w:eastAsia="仿宋" w:cs="Times New Roman"/>
          <w:b/>
          <w:bCs/>
          <w:color w:val="auto"/>
          <w:sz w:val="24"/>
          <w:highlight w:val="none"/>
          <w:shd w:val="clear" w:color="auto" w:fill="auto"/>
        </w:rPr>
      </w:pPr>
      <w:r>
        <w:rPr>
          <w:rFonts w:hint="eastAsia" w:ascii="仿宋" w:hAnsi="仿宋" w:eastAsia="仿宋" w:cs="仿宋"/>
          <w:b/>
          <w:bCs/>
          <w:sz w:val="24"/>
          <w:szCs w:val="24"/>
          <w:lang w:val="en-US" w:eastAsia="zh-CN"/>
        </w:rPr>
        <w:t>1.1</w:t>
      </w:r>
      <w:r>
        <w:rPr>
          <w:rFonts w:hint="eastAsia" w:ascii="Times New Roman" w:hAnsi="Times New Roman" w:eastAsia="仿宋" w:cs="Times New Roman"/>
          <w:b/>
          <w:bCs/>
          <w:color w:val="auto"/>
          <w:sz w:val="24"/>
          <w:highlight w:val="none"/>
          <w:shd w:val="clear" w:color="auto" w:fill="auto"/>
        </w:rPr>
        <w:t>违约责任</w:t>
      </w:r>
    </w:p>
    <w:p w14:paraId="269D1D2E">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outlineLvl w:val="9"/>
        <w:rPr>
          <w:rFonts w:hint="eastAsia" w:ascii="Times New Roman" w:hAnsi="Times New Roman" w:eastAsia="仿宋" w:cs="Times New Roman"/>
          <w:color w:val="auto"/>
          <w:sz w:val="22"/>
          <w:szCs w:val="22"/>
          <w:highlight w:val="none"/>
          <w:shd w:val="clear" w:color="auto" w:fill="auto"/>
        </w:rPr>
      </w:pPr>
      <w:r>
        <w:rPr>
          <w:rFonts w:hint="eastAsia" w:ascii="Times New Roman" w:hAnsi="Times New Roman" w:eastAsia="仿宋" w:cs="Times New Roman"/>
          <w:color w:val="auto"/>
          <w:sz w:val="22"/>
          <w:szCs w:val="22"/>
          <w:highlight w:val="none"/>
          <w:shd w:val="clear" w:color="auto" w:fill="auto"/>
        </w:rPr>
        <w:t>1、</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逾期15日内不能提供</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所需医用耗材的，应向</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每日支付该批次货款千分之三的违约金。</w:t>
      </w:r>
    </w:p>
    <w:p w14:paraId="7BA6A0B7">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outlineLvl w:val="9"/>
        <w:rPr>
          <w:rFonts w:hint="eastAsia" w:ascii="Times New Roman" w:hAnsi="Times New Roman" w:eastAsia="仿宋" w:cs="Times New Roman"/>
          <w:color w:val="auto"/>
          <w:sz w:val="22"/>
          <w:szCs w:val="22"/>
          <w:highlight w:val="none"/>
          <w:shd w:val="clear" w:color="auto" w:fill="auto"/>
        </w:rPr>
      </w:pPr>
      <w:r>
        <w:rPr>
          <w:rFonts w:hint="eastAsia" w:ascii="Times New Roman" w:hAnsi="Times New Roman" w:eastAsia="仿宋" w:cs="Times New Roman"/>
          <w:color w:val="auto"/>
          <w:sz w:val="22"/>
          <w:szCs w:val="22"/>
          <w:highlight w:val="none"/>
          <w:shd w:val="clear" w:color="auto" w:fill="auto"/>
        </w:rPr>
        <w:t>2、</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逾期15日及以上不能交付以上产品的，视同不能供货，须向</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支付该批次货款的10%的违约金，同时</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可以单方面解除</w:t>
      </w:r>
      <w:r>
        <w:rPr>
          <w:rFonts w:hint="eastAsia" w:ascii="Times New Roman" w:hAnsi="Times New Roman" w:eastAsia="仿宋" w:cs="Times New Roman"/>
          <w:color w:val="auto"/>
          <w:sz w:val="22"/>
          <w:szCs w:val="22"/>
          <w:highlight w:val="none"/>
          <w:shd w:val="clear" w:color="auto" w:fill="auto"/>
          <w:lang w:eastAsia="zh-CN"/>
        </w:rPr>
        <w:t>采购合同</w:t>
      </w:r>
      <w:r>
        <w:rPr>
          <w:rFonts w:hint="eastAsia" w:ascii="Times New Roman" w:hAnsi="Times New Roman" w:eastAsia="仿宋" w:cs="Times New Roman"/>
          <w:color w:val="auto"/>
          <w:sz w:val="22"/>
          <w:szCs w:val="22"/>
          <w:highlight w:val="none"/>
          <w:shd w:val="clear" w:color="auto" w:fill="auto"/>
        </w:rPr>
        <w:t>。</w:t>
      </w:r>
    </w:p>
    <w:p w14:paraId="6B9116A5">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Times New Roman" w:hAnsi="Times New Roman" w:eastAsia="仿宋" w:cs="Times New Roman"/>
          <w:color w:val="auto"/>
          <w:sz w:val="22"/>
          <w:szCs w:val="22"/>
          <w:highlight w:val="none"/>
          <w:shd w:val="clear" w:color="auto" w:fill="auto"/>
        </w:rPr>
      </w:pPr>
      <w:r>
        <w:rPr>
          <w:rFonts w:hint="eastAsia" w:ascii="Times New Roman" w:hAnsi="Times New Roman" w:eastAsia="仿宋" w:cs="Times New Roman"/>
          <w:color w:val="auto"/>
          <w:sz w:val="22"/>
          <w:szCs w:val="22"/>
          <w:highlight w:val="none"/>
          <w:shd w:val="clear" w:color="auto" w:fill="auto"/>
        </w:rPr>
        <w:t>3、若因</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原因造成</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被监管部门通报三次及以上的或者</w:t>
      </w:r>
      <w:r>
        <w:rPr>
          <w:rFonts w:hint="eastAsia" w:ascii="Times New Roman" w:hAnsi="Times New Roman" w:eastAsia="仿宋" w:cs="Times New Roman"/>
          <w:color w:val="auto"/>
          <w:sz w:val="22"/>
          <w:szCs w:val="22"/>
          <w:highlight w:val="none"/>
          <w:shd w:val="clear" w:color="auto" w:fill="auto"/>
          <w:lang w:eastAsia="zh-CN"/>
        </w:rPr>
        <w:t>造成采购人违规采购</w:t>
      </w:r>
      <w:r>
        <w:rPr>
          <w:rFonts w:hint="eastAsia" w:ascii="Times New Roman" w:hAnsi="Times New Roman" w:eastAsia="仿宋" w:cs="Times New Roman"/>
          <w:color w:val="auto"/>
          <w:sz w:val="22"/>
          <w:szCs w:val="22"/>
          <w:highlight w:val="none"/>
          <w:shd w:val="clear" w:color="auto" w:fill="auto"/>
        </w:rPr>
        <w:t>，</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有权单方面解除</w:t>
      </w:r>
      <w:r>
        <w:rPr>
          <w:rFonts w:hint="eastAsia" w:ascii="Times New Roman" w:hAnsi="Times New Roman" w:eastAsia="仿宋" w:cs="Times New Roman"/>
          <w:color w:val="auto"/>
          <w:sz w:val="22"/>
          <w:szCs w:val="22"/>
          <w:highlight w:val="none"/>
          <w:shd w:val="clear" w:color="auto" w:fill="auto"/>
          <w:lang w:eastAsia="zh-CN"/>
        </w:rPr>
        <w:t>采购合同</w:t>
      </w:r>
      <w:r>
        <w:rPr>
          <w:rFonts w:hint="eastAsia" w:ascii="Times New Roman" w:hAnsi="Times New Roman" w:eastAsia="仿宋" w:cs="Times New Roman"/>
          <w:color w:val="auto"/>
          <w:sz w:val="22"/>
          <w:szCs w:val="22"/>
          <w:highlight w:val="none"/>
          <w:shd w:val="clear" w:color="auto" w:fill="auto"/>
        </w:rPr>
        <w:t>。</w:t>
      </w:r>
      <w:r>
        <w:rPr>
          <w:rFonts w:hint="eastAsia" w:ascii="Times New Roman" w:hAnsi="Times New Roman" w:eastAsia="仿宋" w:cs="Times New Roman"/>
          <w:color w:val="auto"/>
          <w:sz w:val="22"/>
          <w:szCs w:val="22"/>
          <w:highlight w:val="none"/>
          <w:shd w:val="clear" w:color="auto" w:fill="auto"/>
          <w:lang w:eastAsia="zh-CN"/>
        </w:rPr>
        <w:t>同时</w:t>
      </w:r>
      <w:r>
        <w:rPr>
          <w:rFonts w:hint="default" w:ascii="Times New Roman" w:hAnsi="Times New Roman" w:eastAsia="仿宋" w:cs="Times New Roman"/>
          <w:color w:val="auto"/>
          <w:sz w:val="22"/>
          <w:szCs w:val="22"/>
          <w:highlight w:val="none"/>
          <w:shd w:val="clear" w:color="auto" w:fill="auto"/>
          <w:lang w:eastAsia="zh-CN"/>
        </w:rPr>
        <w:t>，</w:t>
      </w:r>
      <w:r>
        <w:rPr>
          <w:rFonts w:hint="eastAsia" w:ascii="Times New Roman" w:hAnsi="Times New Roman" w:eastAsia="仿宋" w:cs="Times New Roman"/>
          <w:color w:val="auto"/>
          <w:sz w:val="22"/>
          <w:szCs w:val="22"/>
          <w:highlight w:val="none"/>
          <w:shd w:val="clear" w:color="auto" w:fill="auto"/>
          <w:lang w:eastAsia="zh-CN"/>
        </w:rPr>
        <w:t>采购人有权要求中标人支付该批货物价款</w:t>
      </w:r>
      <w:r>
        <w:rPr>
          <w:rFonts w:hint="eastAsia" w:ascii="Times New Roman" w:hAnsi="Times New Roman" w:eastAsia="仿宋" w:cs="Times New Roman"/>
          <w:color w:val="auto"/>
          <w:sz w:val="22"/>
          <w:szCs w:val="22"/>
          <w:highlight w:val="none"/>
          <w:shd w:val="clear" w:color="auto" w:fill="auto"/>
          <w:lang w:val="en-US" w:eastAsia="zh-CN"/>
        </w:rPr>
        <w:t>20%</w:t>
      </w:r>
      <w:r>
        <w:rPr>
          <w:rFonts w:hint="eastAsia" w:ascii="Times New Roman" w:hAnsi="Times New Roman" w:eastAsia="仿宋" w:cs="Times New Roman"/>
          <w:color w:val="auto"/>
          <w:sz w:val="22"/>
          <w:szCs w:val="22"/>
          <w:highlight w:val="none"/>
          <w:shd w:val="clear" w:color="auto" w:fill="auto"/>
          <w:lang w:eastAsia="zh-CN"/>
        </w:rPr>
        <w:t>的违约金</w:t>
      </w:r>
      <w:r>
        <w:rPr>
          <w:rFonts w:hint="eastAsia" w:ascii="Times New Roman" w:hAnsi="Times New Roman" w:eastAsia="仿宋" w:cs="Times New Roman"/>
          <w:color w:val="auto"/>
          <w:sz w:val="22"/>
          <w:szCs w:val="22"/>
          <w:highlight w:val="none"/>
          <w:shd w:val="clear" w:color="auto" w:fill="auto"/>
        </w:rPr>
        <w:t>。</w:t>
      </w:r>
    </w:p>
    <w:p w14:paraId="5FB2E40B">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Times New Roman" w:hAnsi="Times New Roman" w:eastAsia="仿宋" w:cs="Times New Roman"/>
          <w:color w:val="auto"/>
          <w:sz w:val="22"/>
          <w:szCs w:val="22"/>
          <w:highlight w:val="none"/>
          <w:shd w:val="clear" w:color="auto" w:fill="auto"/>
        </w:rPr>
      </w:pPr>
      <w:r>
        <w:rPr>
          <w:rFonts w:hint="eastAsia" w:ascii="Times New Roman" w:hAnsi="Times New Roman" w:eastAsia="仿宋" w:cs="Times New Roman"/>
          <w:color w:val="auto"/>
          <w:sz w:val="22"/>
          <w:szCs w:val="22"/>
          <w:highlight w:val="none"/>
          <w:shd w:val="clear" w:color="auto" w:fill="auto"/>
        </w:rPr>
        <w:t>4、</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销售的产品若发生严重医疗不良事件或被国家法定检测机构检测为不合格产品，视为</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违约导致不能实现</w:t>
      </w:r>
      <w:r>
        <w:rPr>
          <w:rFonts w:hint="eastAsia" w:ascii="Times New Roman" w:hAnsi="Times New Roman" w:eastAsia="仿宋" w:cs="Times New Roman"/>
          <w:color w:val="auto"/>
          <w:sz w:val="22"/>
          <w:szCs w:val="22"/>
          <w:highlight w:val="none"/>
          <w:shd w:val="clear" w:color="auto" w:fill="auto"/>
          <w:lang w:eastAsia="zh-CN"/>
        </w:rPr>
        <w:t>采购合同</w:t>
      </w:r>
      <w:r>
        <w:rPr>
          <w:rFonts w:hint="eastAsia" w:ascii="Times New Roman" w:hAnsi="Times New Roman" w:eastAsia="仿宋" w:cs="Times New Roman"/>
          <w:color w:val="auto"/>
          <w:sz w:val="22"/>
          <w:szCs w:val="22"/>
          <w:highlight w:val="none"/>
          <w:shd w:val="clear" w:color="auto" w:fill="auto"/>
        </w:rPr>
        <w:t>目的，</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有权单方面解除</w:t>
      </w:r>
      <w:r>
        <w:rPr>
          <w:rFonts w:hint="eastAsia" w:ascii="Times New Roman" w:hAnsi="Times New Roman" w:eastAsia="仿宋" w:cs="Times New Roman"/>
          <w:color w:val="auto"/>
          <w:sz w:val="22"/>
          <w:szCs w:val="22"/>
          <w:highlight w:val="none"/>
          <w:shd w:val="clear" w:color="auto" w:fill="auto"/>
          <w:lang w:eastAsia="zh-CN"/>
        </w:rPr>
        <w:t>采购合同</w:t>
      </w:r>
      <w:r>
        <w:rPr>
          <w:rFonts w:hint="eastAsia" w:ascii="Times New Roman" w:hAnsi="Times New Roman" w:eastAsia="仿宋" w:cs="Times New Roman"/>
          <w:color w:val="auto"/>
          <w:sz w:val="22"/>
          <w:szCs w:val="22"/>
          <w:highlight w:val="none"/>
          <w:shd w:val="clear" w:color="auto" w:fill="auto"/>
        </w:rPr>
        <w:t>，并要求</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限期收回不合格产品，并要求</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需承担合同价款20%的违约金，违约金不足以</w:t>
      </w:r>
      <w:r>
        <w:rPr>
          <w:rFonts w:hint="eastAsia" w:ascii="Times New Roman" w:hAnsi="Times New Roman" w:eastAsia="仿宋" w:cs="Times New Roman"/>
          <w:color w:val="auto"/>
          <w:sz w:val="22"/>
          <w:szCs w:val="22"/>
          <w:highlight w:val="none"/>
          <w:shd w:val="clear" w:color="auto" w:fill="auto"/>
          <w:lang w:val="en-US" w:eastAsia="zh-Hans"/>
        </w:rPr>
        <w:t>弥补</w:t>
      </w:r>
      <w:r>
        <w:rPr>
          <w:rFonts w:hint="eastAsia" w:ascii="Times New Roman" w:hAnsi="Times New Roman" w:eastAsia="仿宋" w:cs="Times New Roman"/>
          <w:color w:val="auto"/>
          <w:sz w:val="22"/>
          <w:szCs w:val="22"/>
          <w:highlight w:val="none"/>
          <w:shd w:val="clear" w:color="auto" w:fill="auto"/>
          <w:lang w:val="en-US" w:eastAsia="zh-CN"/>
        </w:rPr>
        <w:t>采购人</w:t>
      </w:r>
      <w:r>
        <w:rPr>
          <w:rFonts w:hint="eastAsia" w:ascii="Times New Roman" w:hAnsi="Times New Roman" w:eastAsia="仿宋" w:cs="Times New Roman"/>
          <w:color w:val="auto"/>
          <w:sz w:val="22"/>
          <w:szCs w:val="22"/>
          <w:highlight w:val="none"/>
          <w:shd w:val="clear" w:color="auto" w:fill="auto"/>
        </w:rPr>
        <w:t>损失的，</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还应当承</w:t>
      </w:r>
      <w:r>
        <w:rPr>
          <w:rFonts w:hint="eastAsia" w:ascii="Times New Roman" w:hAnsi="Times New Roman" w:eastAsia="仿宋" w:cs="Times New Roman"/>
          <w:color w:val="auto"/>
          <w:sz w:val="22"/>
          <w:szCs w:val="22"/>
          <w:highlight w:val="none"/>
          <w:shd w:val="clear" w:color="auto" w:fill="auto"/>
          <w:lang w:val="en-US" w:eastAsia="zh-Hans"/>
        </w:rPr>
        <w:t>补足</w:t>
      </w:r>
      <w:r>
        <w:rPr>
          <w:rFonts w:hint="eastAsia" w:ascii="Times New Roman" w:hAnsi="Times New Roman" w:eastAsia="仿宋" w:cs="Times New Roman"/>
          <w:color w:val="auto"/>
          <w:sz w:val="22"/>
          <w:szCs w:val="22"/>
          <w:highlight w:val="none"/>
          <w:shd w:val="clear" w:color="auto" w:fill="auto"/>
        </w:rPr>
        <w:t>。</w:t>
      </w:r>
    </w:p>
    <w:p w14:paraId="49D93131">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Times New Roman" w:hAnsi="Times New Roman" w:eastAsia="仿宋" w:cs="Times New Roman"/>
          <w:color w:val="auto"/>
          <w:sz w:val="22"/>
          <w:szCs w:val="22"/>
          <w:highlight w:val="none"/>
          <w:shd w:val="clear" w:color="auto" w:fill="auto"/>
        </w:rPr>
      </w:pPr>
      <w:r>
        <w:rPr>
          <w:rFonts w:hint="eastAsia" w:ascii="Times New Roman" w:hAnsi="Times New Roman" w:eastAsia="仿宋" w:cs="Times New Roman"/>
          <w:color w:val="auto"/>
          <w:sz w:val="22"/>
          <w:szCs w:val="22"/>
          <w:highlight w:val="none"/>
          <w:shd w:val="clear" w:color="auto" w:fill="auto"/>
        </w:rPr>
        <w:t>即使产品已经验收入库（或安装调试完毕）后，</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才发现产品为不合格产品的，也视为</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违约，</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应当承担本条约定的责任。同时</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有权退回库存产品。</w:t>
      </w:r>
    </w:p>
    <w:p w14:paraId="7CF5281F">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Times New Roman" w:hAnsi="Times New Roman" w:eastAsia="仿宋" w:cs="Times New Roman"/>
          <w:color w:val="auto"/>
          <w:sz w:val="22"/>
          <w:szCs w:val="22"/>
          <w:highlight w:val="none"/>
          <w:shd w:val="clear" w:color="auto" w:fill="auto"/>
        </w:rPr>
      </w:pPr>
      <w:r>
        <w:rPr>
          <w:rFonts w:hint="eastAsia" w:ascii="Times New Roman" w:hAnsi="Times New Roman" w:eastAsia="仿宋" w:cs="Times New Roman"/>
          <w:color w:val="auto"/>
          <w:sz w:val="22"/>
          <w:szCs w:val="22"/>
          <w:highlight w:val="none"/>
          <w:shd w:val="clear" w:color="auto" w:fill="auto"/>
        </w:rPr>
        <w:t>5、若根据法律规定或本协议约定产生</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退、换货或拒绝收货情形，由</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承担退换货产生的各项税、费或其他支出。</w:t>
      </w:r>
    </w:p>
    <w:p w14:paraId="7F580E25">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Times New Roman" w:hAnsi="Times New Roman" w:eastAsia="仿宋" w:cs="Times New Roman"/>
          <w:color w:val="auto"/>
          <w:sz w:val="22"/>
          <w:szCs w:val="22"/>
          <w:highlight w:val="none"/>
          <w:shd w:val="clear" w:color="auto" w:fill="auto"/>
        </w:rPr>
      </w:pPr>
      <w:r>
        <w:rPr>
          <w:rFonts w:hint="eastAsia" w:ascii="Times New Roman" w:hAnsi="Times New Roman" w:eastAsia="仿宋" w:cs="Times New Roman"/>
          <w:color w:val="auto"/>
          <w:sz w:val="22"/>
          <w:szCs w:val="22"/>
          <w:highlight w:val="none"/>
          <w:shd w:val="clear" w:color="auto" w:fill="auto"/>
        </w:rPr>
        <w:t>6、</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不能保证及时供货，除应当向</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承担违约责任外，</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仍有权单方面解除</w:t>
      </w:r>
      <w:r>
        <w:rPr>
          <w:rFonts w:hint="eastAsia" w:ascii="Times New Roman" w:hAnsi="Times New Roman" w:eastAsia="仿宋" w:cs="Times New Roman"/>
          <w:color w:val="auto"/>
          <w:sz w:val="22"/>
          <w:szCs w:val="22"/>
          <w:highlight w:val="none"/>
          <w:shd w:val="clear" w:color="auto" w:fill="auto"/>
          <w:lang w:eastAsia="zh-CN"/>
        </w:rPr>
        <w:t>采购合同</w:t>
      </w:r>
      <w:r>
        <w:rPr>
          <w:rFonts w:hint="eastAsia" w:ascii="Times New Roman" w:hAnsi="Times New Roman" w:eastAsia="仿宋" w:cs="Times New Roman"/>
          <w:color w:val="auto"/>
          <w:sz w:val="22"/>
          <w:szCs w:val="22"/>
          <w:highlight w:val="none"/>
          <w:shd w:val="clear" w:color="auto" w:fill="auto"/>
        </w:rPr>
        <w:t>。</w:t>
      </w:r>
    </w:p>
    <w:p w14:paraId="0E899B38">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Times New Roman" w:hAnsi="Times New Roman" w:eastAsia="仿宋" w:cs="Times New Roman"/>
          <w:color w:val="auto"/>
          <w:sz w:val="22"/>
          <w:szCs w:val="22"/>
          <w:highlight w:val="none"/>
          <w:shd w:val="clear" w:color="auto" w:fill="auto"/>
        </w:rPr>
      </w:pPr>
      <w:r>
        <w:rPr>
          <w:rFonts w:hint="eastAsia" w:ascii="Times New Roman" w:hAnsi="Times New Roman" w:eastAsia="仿宋" w:cs="Times New Roman"/>
          <w:color w:val="auto"/>
          <w:sz w:val="22"/>
          <w:szCs w:val="22"/>
          <w:highlight w:val="none"/>
          <w:shd w:val="clear" w:color="auto" w:fill="auto"/>
        </w:rPr>
        <w:t>7、因</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提供的产品不合格造成</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或第三人人身损害或财产损失的，由</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承担赔偿责任。</w:t>
      </w:r>
    </w:p>
    <w:p w14:paraId="7694D5CE">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Times New Roman" w:hAnsi="Times New Roman" w:eastAsia="仿宋" w:cs="Times New Roman"/>
          <w:color w:val="auto"/>
          <w:sz w:val="22"/>
          <w:szCs w:val="22"/>
          <w:highlight w:val="none"/>
          <w:shd w:val="clear" w:color="auto" w:fill="auto"/>
          <w:lang w:val="en-US" w:eastAsia="zh-CN"/>
        </w:rPr>
      </w:pPr>
      <w:r>
        <w:rPr>
          <w:rFonts w:hint="eastAsia" w:ascii="Times New Roman" w:hAnsi="Times New Roman" w:eastAsia="仿宋" w:cs="Times New Roman"/>
          <w:color w:val="auto"/>
          <w:sz w:val="22"/>
          <w:szCs w:val="22"/>
          <w:highlight w:val="none"/>
          <w:shd w:val="clear" w:color="auto" w:fill="auto"/>
          <w:lang w:val="en-US" w:eastAsia="zh-CN"/>
        </w:rPr>
        <w:t>8、若因中标人原因造成采购人挂网执行存在问题以及线上支付不及时、造成采购人未挂网采购的或者存在其他问题的，中标人应承担违约责任，且</w:t>
      </w:r>
      <w:r>
        <w:rPr>
          <w:rFonts w:hint="eastAsia" w:ascii="Times New Roman" w:hAnsi="Times New Roman" w:eastAsia="仿宋" w:cs="Times New Roman"/>
          <w:color w:val="auto"/>
          <w:sz w:val="22"/>
          <w:szCs w:val="22"/>
          <w:highlight w:val="none"/>
          <w:shd w:val="clear" w:color="auto" w:fill="auto"/>
          <w:lang w:eastAsia="zh-CN"/>
        </w:rPr>
        <w:t>采购人有权要求中标人支付该批货物价款</w:t>
      </w:r>
      <w:r>
        <w:rPr>
          <w:rFonts w:hint="eastAsia" w:ascii="Times New Roman" w:hAnsi="Times New Roman" w:eastAsia="仿宋" w:cs="Times New Roman"/>
          <w:color w:val="auto"/>
          <w:sz w:val="22"/>
          <w:szCs w:val="22"/>
          <w:highlight w:val="none"/>
          <w:shd w:val="clear" w:color="auto" w:fill="auto"/>
          <w:lang w:val="en-US" w:eastAsia="zh-CN"/>
        </w:rPr>
        <w:t>20%</w:t>
      </w:r>
      <w:r>
        <w:rPr>
          <w:rFonts w:hint="eastAsia" w:ascii="Times New Roman" w:hAnsi="Times New Roman" w:eastAsia="仿宋" w:cs="Times New Roman"/>
          <w:color w:val="auto"/>
          <w:sz w:val="22"/>
          <w:szCs w:val="22"/>
          <w:highlight w:val="none"/>
          <w:shd w:val="clear" w:color="auto" w:fill="auto"/>
          <w:lang w:eastAsia="zh-CN"/>
        </w:rPr>
        <w:t>的违约金，采购人有权单方面解除合同。</w:t>
      </w:r>
    </w:p>
    <w:p w14:paraId="5AD6C2DB">
      <w:pPr>
        <w:keepNext w:val="0"/>
        <w:keepLines w:val="0"/>
        <w:pageBreakBefore w:val="0"/>
        <w:widowControl w:val="0"/>
        <w:kinsoku/>
        <w:wordWrap/>
        <w:overflowPunct/>
        <w:topLinePunct w:val="0"/>
        <w:autoSpaceDE/>
        <w:autoSpaceDN/>
        <w:bidi w:val="0"/>
        <w:adjustRightInd/>
        <w:snapToGrid/>
        <w:spacing w:line="240" w:lineRule="auto"/>
        <w:ind w:firstLine="482" w:firstLineChars="200"/>
        <w:jc w:val="left"/>
        <w:textAlignment w:val="auto"/>
        <w:rPr>
          <w:rFonts w:hint="eastAsia" w:ascii="Times New Roman" w:hAnsi="Times New Roman" w:eastAsia="仿宋" w:cs="Times New Roman"/>
          <w:b/>
          <w:bCs/>
          <w:color w:val="auto"/>
          <w:sz w:val="24"/>
          <w:highlight w:val="none"/>
          <w:shd w:val="clear" w:color="auto" w:fill="auto"/>
        </w:rPr>
      </w:pPr>
      <w:r>
        <w:rPr>
          <w:rFonts w:hint="eastAsia" w:eastAsia="仿宋" w:cs="Times New Roman"/>
          <w:b/>
          <w:bCs/>
          <w:color w:val="auto"/>
          <w:sz w:val="24"/>
          <w:highlight w:val="none"/>
          <w:shd w:val="clear" w:color="auto" w:fill="auto"/>
          <w:lang w:val="en-US" w:eastAsia="zh-CN"/>
        </w:rPr>
        <w:t>1.2</w:t>
      </w:r>
      <w:r>
        <w:rPr>
          <w:rFonts w:hint="eastAsia" w:ascii="Times New Roman" w:hAnsi="Times New Roman" w:eastAsia="仿宋" w:cs="Times New Roman"/>
          <w:b/>
          <w:bCs/>
          <w:color w:val="auto"/>
          <w:sz w:val="24"/>
          <w:highlight w:val="none"/>
          <w:shd w:val="clear" w:color="auto" w:fill="auto"/>
        </w:rPr>
        <w:t>解决合同纠纷的方式</w:t>
      </w:r>
    </w:p>
    <w:p w14:paraId="15B22AC4">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Times New Roman" w:hAnsi="Times New Roman" w:eastAsia="仿宋" w:cs="Times New Roman"/>
          <w:color w:val="auto"/>
          <w:sz w:val="22"/>
          <w:szCs w:val="22"/>
          <w:highlight w:val="none"/>
          <w:shd w:val="clear" w:color="auto" w:fill="auto"/>
        </w:rPr>
      </w:pPr>
      <w:r>
        <w:rPr>
          <w:rFonts w:hint="eastAsia" w:ascii="Times New Roman" w:hAnsi="Times New Roman" w:eastAsia="仿宋" w:cs="Times New Roman"/>
          <w:color w:val="auto"/>
          <w:sz w:val="22"/>
          <w:szCs w:val="22"/>
          <w:highlight w:val="none"/>
          <w:shd w:val="clear" w:color="auto" w:fill="auto"/>
        </w:rPr>
        <w:t>1、因货物的质量问题发生的争议，由法定质量鉴定机构或其认可的质量鉴定机构进行质量鉴定。货物符合标准的，鉴定费由</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承担；货物不符合质量标准的，鉴定费由</w:t>
      </w:r>
      <w:r>
        <w:rPr>
          <w:rFonts w:hint="eastAsia" w:ascii="Times New Roman" w:hAnsi="Times New Roman" w:eastAsia="仿宋" w:cs="Times New Roman"/>
          <w:color w:val="auto"/>
          <w:sz w:val="22"/>
          <w:szCs w:val="22"/>
          <w:highlight w:val="none"/>
          <w:shd w:val="clear" w:color="auto" w:fill="auto"/>
          <w:lang w:eastAsia="zh-CN"/>
        </w:rPr>
        <w:t>中标人</w:t>
      </w:r>
      <w:r>
        <w:rPr>
          <w:rFonts w:hint="eastAsia" w:ascii="Times New Roman" w:hAnsi="Times New Roman" w:eastAsia="仿宋" w:cs="Times New Roman"/>
          <w:color w:val="auto"/>
          <w:sz w:val="22"/>
          <w:szCs w:val="22"/>
          <w:highlight w:val="none"/>
          <w:shd w:val="clear" w:color="auto" w:fill="auto"/>
        </w:rPr>
        <w:t>承担。</w:t>
      </w:r>
    </w:p>
    <w:p w14:paraId="565CFA7E">
      <w:pPr>
        <w:keepNext w:val="0"/>
        <w:keepLines w:val="0"/>
        <w:pageBreakBefore w:val="0"/>
        <w:kinsoku/>
        <w:wordWrap/>
        <w:overflowPunct/>
        <w:topLinePunct w:val="0"/>
        <w:autoSpaceDE/>
        <w:autoSpaceDN/>
        <w:bidi w:val="0"/>
        <w:adjustRightInd/>
        <w:snapToGrid/>
        <w:spacing w:line="240" w:lineRule="auto"/>
        <w:ind w:firstLine="440" w:firstLineChars="200"/>
        <w:jc w:val="left"/>
        <w:textAlignment w:val="auto"/>
        <w:rPr>
          <w:rFonts w:hint="default" w:ascii="仿宋" w:hAnsi="仿宋" w:eastAsia="仿宋" w:cs="仿宋"/>
          <w:color w:val="000000"/>
          <w:kern w:val="0"/>
          <w:sz w:val="22"/>
          <w:szCs w:val="22"/>
          <w:u w:val="none"/>
          <w:lang w:val="en-US" w:eastAsia="zh-CN" w:bidi="ar"/>
        </w:rPr>
      </w:pPr>
      <w:r>
        <w:rPr>
          <w:rFonts w:hint="eastAsia" w:ascii="Times New Roman" w:hAnsi="Times New Roman" w:eastAsia="仿宋" w:cs="Times New Roman"/>
          <w:color w:val="auto"/>
          <w:sz w:val="22"/>
          <w:szCs w:val="22"/>
          <w:highlight w:val="none"/>
          <w:shd w:val="clear" w:color="auto" w:fill="auto"/>
        </w:rPr>
        <w:t>2、合同履行期间，若双方发生争议，可协商或由有关部门调解解决，协商或调解不成的，可向</w:t>
      </w:r>
      <w:r>
        <w:rPr>
          <w:rFonts w:hint="eastAsia" w:ascii="Times New Roman" w:hAnsi="Times New Roman" w:eastAsia="仿宋" w:cs="Times New Roman"/>
          <w:color w:val="auto"/>
          <w:sz w:val="22"/>
          <w:szCs w:val="22"/>
          <w:highlight w:val="none"/>
          <w:shd w:val="clear" w:color="auto" w:fill="auto"/>
          <w:lang w:eastAsia="zh-CN"/>
        </w:rPr>
        <w:t>采购人</w:t>
      </w:r>
      <w:r>
        <w:rPr>
          <w:rFonts w:hint="eastAsia" w:ascii="Times New Roman" w:hAnsi="Times New Roman" w:eastAsia="仿宋" w:cs="Times New Roman"/>
          <w:color w:val="auto"/>
          <w:sz w:val="22"/>
          <w:szCs w:val="22"/>
          <w:highlight w:val="none"/>
          <w:shd w:val="clear" w:color="auto" w:fill="auto"/>
        </w:rPr>
        <w:t>所在地人民法院依法提起诉讼</w:t>
      </w:r>
      <w:r>
        <w:rPr>
          <w:rFonts w:hint="eastAsia" w:ascii="仿宋" w:hAnsi="仿宋" w:eastAsia="仿宋" w:cs="仿宋"/>
          <w:color w:val="000000"/>
          <w:kern w:val="0"/>
          <w:sz w:val="22"/>
          <w:szCs w:val="22"/>
          <w:u w:val="none"/>
          <w:lang w:val="en-US" w:eastAsia="zh-CN" w:bidi="ar"/>
        </w:rPr>
        <w:t>。</w:t>
      </w:r>
    </w:p>
    <w:p w14:paraId="73BBDC5B">
      <w:pPr>
        <w:pStyle w:val="7"/>
        <w:keepNext w:val="0"/>
        <w:keepLines w:val="0"/>
        <w:pageBreakBefore w:val="0"/>
        <w:kinsoku/>
        <w:wordWrap/>
        <w:overflowPunct/>
        <w:topLinePunct w:val="0"/>
        <w:autoSpaceDE/>
        <w:autoSpaceDN/>
        <w:bidi w:val="0"/>
        <w:adjustRightInd/>
        <w:snapToGrid/>
        <w:spacing w:line="240" w:lineRule="auto"/>
        <w:ind w:firstLine="482" w:firstLineChars="200"/>
        <w:jc w:val="left"/>
        <w:textAlignment w:val="auto"/>
        <w:rPr>
          <w:rFonts w:hint="eastAsia" w:ascii="Times New Roman" w:hAnsi="Times New Roman" w:eastAsia="仿宋" w:cs="Times New Roman"/>
          <w:color w:val="auto"/>
          <w:sz w:val="22"/>
          <w:szCs w:val="22"/>
          <w:highlight w:val="none"/>
          <w:shd w:val="clear" w:color="auto" w:fill="auto"/>
          <w:lang w:val="en-US" w:eastAsia="zh-CN"/>
        </w:rPr>
      </w:pPr>
      <w:r>
        <w:rPr>
          <w:rFonts w:hint="eastAsia" w:ascii="仿宋" w:hAnsi="仿宋" w:eastAsia="仿宋" w:cs="仿宋"/>
          <w:b/>
          <w:bCs/>
          <w:sz w:val="24"/>
          <w:szCs w:val="24"/>
          <w:highlight w:val="none"/>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Times New Roman" w:hAnsi="Times New Roman" w:eastAsia="仿宋" w:cs="Times New Roman"/>
          <w:b w:val="0"/>
          <w:bCs w:val="0"/>
          <w:color w:val="auto"/>
          <w:sz w:val="22"/>
          <w:szCs w:val="22"/>
          <w:highlight w:val="none"/>
          <w:shd w:val="clear" w:color="auto" w:fill="auto"/>
          <w:lang w:val="en-US" w:eastAsia="zh-CN"/>
        </w:rPr>
        <w:t>服务期</w:t>
      </w:r>
      <w:r>
        <w:rPr>
          <w:rFonts w:hint="eastAsia" w:ascii="Times New Roman" w:hAnsi="Times New Roman" w:eastAsia="仿宋" w:cs="Times New Roman"/>
          <w:color w:val="auto"/>
          <w:sz w:val="22"/>
          <w:szCs w:val="22"/>
          <w:highlight w:val="none"/>
          <w:shd w:val="clear" w:color="auto" w:fill="auto"/>
          <w:lang w:val="en-US" w:eastAsia="zh-CN"/>
        </w:rPr>
        <w:t>2年，合同一签2年</w:t>
      </w:r>
      <w:r>
        <w:rPr>
          <w:rFonts w:hint="eastAsia" w:ascii="仿宋" w:hAnsi="仿宋" w:eastAsia="仿宋" w:cs="仿宋"/>
          <w:color w:val="000000"/>
          <w:kern w:val="0"/>
          <w:sz w:val="22"/>
          <w:szCs w:val="22"/>
          <w:highlight w:val="none"/>
          <w:u w:val="none"/>
          <w:lang w:val="en-US" w:eastAsia="zh-CN" w:bidi="ar"/>
        </w:rPr>
        <w:t>。</w:t>
      </w:r>
    </w:p>
    <w:p w14:paraId="39CD1221">
      <w:pPr>
        <w:pStyle w:val="7"/>
        <w:keepNext w:val="0"/>
        <w:keepLines w:val="0"/>
        <w:pageBreakBefore w:val="0"/>
        <w:kinsoku/>
        <w:wordWrap/>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val="0"/>
          <w:bCs w:val="0"/>
          <w:sz w:val="22"/>
          <w:szCs w:val="22"/>
          <w:lang w:val="en-US" w:eastAsia="zh-CN"/>
        </w:rPr>
      </w:pPr>
      <w:r>
        <w:rPr>
          <w:rFonts w:hint="eastAsia" w:ascii="仿宋" w:hAnsi="仿宋" w:eastAsia="仿宋" w:cs="仿宋"/>
          <w:b/>
          <w:bCs/>
          <w:sz w:val="24"/>
          <w:szCs w:val="24"/>
          <w:lang w:val="en-US" w:eastAsia="zh-CN"/>
        </w:rPr>
        <w:t>3.支付方式：</w:t>
      </w:r>
      <w:r>
        <w:rPr>
          <w:rFonts w:hint="eastAsia" w:ascii="仿宋" w:hAnsi="仿宋" w:eastAsia="仿宋" w:cs="仿宋"/>
          <w:color w:val="000000"/>
          <w:kern w:val="0"/>
          <w:sz w:val="22"/>
          <w:szCs w:val="22"/>
          <w:u w:val="none"/>
          <w:lang w:val="en-US" w:eastAsia="zh-CN" w:bidi="ar"/>
        </w:rPr>
        <w:t>双方协商确定。</w:t>
      </w:r>
    </w:p>
    <w:p w14:paraId="18121E5C">
      <w:pPr>
        <w:pStyle w:val="7"/>
        <w:keepNext w:val="0"/>
        <w:keepLines w:val="0"/>
        <w:pageBreakBefore w:val="0"/>
        <w:kinsoku/>
        <w:wordWrap/>
        <w:overflowPunct/>
        <w:topLinePunct w:val="0"/>
        <w:autoSpaceDE/>
        <w:autoSpaceDN/>
        <w:bidi w:val="0"/>
        <w:adjustRightInd/>
        <w:snapToGrid/>
        <w:spacing w:line="240" w:lineRule="auto"/>
        <w:ind w:firstLine="482" w:firstLineChars="200"/>
        <w:jc w:val="left"/>
        <w:textAlignment w:val="auto"/>
        <w:rPr>
          <w:rFonts w:hint="default" w:ascii="仿宋" w:hAnsi="仿宋" w:eastAsia="仿宋" w:cs="仿宋"/>
          <w:b/>
          <w:bCs/>
          <w:sz w:val="22"/>
          <w:szCs w:val="22"/>
          <w:lang w:val="en-US" w:eastAsia="zh-CN"/>
        </w:rPr>
      </w:pPr>
      <w:r>
        <w:rPr>
          <w:rFonts w:hint="eastAsia" w:ascii="仿宋" w:hAnsi="仿宋" w:eastAsia="仿宋" w:cs="仿宋"/>
          <w:b/>
          <w:bCs/>
          <w:sz w:val="24"/>
          <w:szCs w:val="24"/>
          <w:lang w:val="en-US" w:eastAsia="zh-CN"/>
        </w:rPr>
        <w:t>4.</w:t>
      </w:r>
      <w:r>
        <w:rPr>
          <w:rFonts w:hint="default" w:ascii="仿宋" w:hAnsi="仿宋" w:eastAsia="仿宋" w:cs="仿宋"/>
          <w:b/>
          <w:bCs/>
          <w:sz w:val="24"/>
          <w:szCs w:val="24"/>
          <w:lang w:val="en-US" w:eastAsia="zh-CN"/>
        </w:rPr>
        <w:t>履约验收程序</w:t>
      </w:r>
      <w:r>
        <w:rPr>
          <w:rFonts w:hint="eastAsia" w:ascii="仿宋" w:hAnsi="仿宋" w:eastAsia="仿宋" w:cs="仿宋"/>
          <w:b/>
          <w:bCs/>
          <w:sz w:val="24"/>
          <w:szCs w:val="24"/>
          <w:lang w:val="en-US" w:eastAsia="zh-CN"/>
        </w:rPr>
        <w:t>：</w:t>
      </w:r>
      <w:r>
        <w:rPr>
          <w:rFonts w:hint="eastAsia" w:ascii="仿宋" w:hAnsi="仿宋" w:eastAsia="仿宋" w:cs="仿宋"/>
          <w:color w:val="000000"/>
          <w:kern w:val="0"/>
          <w:sz w:val="22"/>
          <w:szCs w:val="22"/>
          <w:u w:val="none"/>
          <w:lang w:val="en-US" w:eastAsia="zh-CN" w:bidi="ar"/>
        </w:rPr>
        <w:t>分批次验收。</w:t>
      </w:r>
    </w:p>
    <w:p w14:paraId="63CE1310">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color w:val="000000"/>
          <w:kern w:val="0"/>
          <w:sz w:val="22"/>
          <w:szCs w:val="22"/>
          <w:u w:val="none"/>
          <w:lang w:val="en-US" w:eastAsia="zh-CN" w:bidi="ar"/>
        </w:rPr>
        <w:t>合同期限内，根据</w:t>
      </w:r>
      <w:r>
        <w:rPr>
          <w:rFonts w:hint="eastAsia" w:ascii="仿宋" w:hAnsi="仿宋" w:eastAsia="仿宋" w:cs="仿宋"/>
          <w:color w:val="000000"/>
          <w:kern w:val="0"/>
          <w:sz w:val="22"/>
          <w:szCs w:val="22"/>
          <w:u w:val="none"/>
          <w:lang w:val="en-US" w:eastAsia="zh-CN" w:bidi="ar"/>
        </w:rPr>
        <w:t>采购人</w:t>
      </w:r>
      <w:r>
        <w:rPr>
          <w:rFonts w:hint="default" w:ascii="仿宋" w:hAnsi="仿宋" w:eastAsia="仿宋" w:cs="仿宋"/>
          <w:color w:val="000000"/>
          <w:kern w:val="0"/>
          <w:sz w:val="22"/>
          <w:szCs w:val="22"/>
          <w:u w:val="none"/>
          <w:lang w:val="en-US" w:eastAsia="zh-CN" w:bidi="ar"/>
        </w:rPr>
        <w:t>要求分批次送货，完成送货、验收入库视为验收完成</w:t>
      </w:r>
      <w:bookmarkStart w:id="1" w:name="_GoBack"/>
      <w:bookmarkEnd w:id="1"/>
      <w:r>
        <w:rPr>
          <w:rFonts w:hint="eastAsia" w:ascii="仿宋" w:hAnsi="仿宋" w:eastAsia="仿宋" w:cs="仿宋"/>
          <w:b w:val="0"/>
          <w:bCs w:val="0"/>
          <w:sz w:val="24"/>
          <w:szCs w:val="24"/>
          <w:highlight w:val="none"/>
          <w:lang w:val="en-US" w:eastAsia="zh-CN"/>
        </w:rPr>
        <w:t>。</w:t>
      </w:r>
    </w:p>
    <w:p w14:paraId="4B26F91A">
      <w:pPr>
        <w:ind w:firstLine="440" w:firstLineChars="200"/>
      </w:pP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8864C72"/>
    <w:rsid w:val="1ACE595C"/>
    <w:rsid w:val="20611393"/>
    <w:rsid w:val="388A64C7"/>
    <w:rsid w:val="67B475D0"/>
    <w:rsid w:val="67BA4749"/>
    <w:rsid w:val="73AD7A2C"/>
    <w:rsid w:val="7D760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32"/>
      <w:szCs w:val="2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4462</Words>
  <Characters>4725</Characters>
  <Lines>0</Lines>
  <Paragraphs>0</Paragraphs>
  <TotalTime>0</TotalTime>
  <ScaleCrop>false</ScaleCrop>
  <LinksUpToDate>false</LinksUpToDate>
  <CharactersWithSpaces>4733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超超杨</cp:lastModifiedBy>
  <dcterms:modified xsi:type="dcterms:W3CDTF">2025-04-08T08:31:06Z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eyJoZGlkIjoiYzI4N2ZiMDIxNTgzYTE0ZGY4Y2VmOTFiZDBiZGUxMjUiLCJ1c2VySWQiOiIyOTgyNDc5NTEifQ==</vt:lpwstr>
  </property>
  <property fmtid="{D5CDD505-2E9C-101B-9397-08002B2CF9AE}" pid="4" name="ICV">
    <vt:lpwstr>C5B7C8CBB9774CFEB3B6A5951A74B4A9_12</vt:lpwstr>
  </property>
</Properties>
</file>