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2475A2">
      <w:pPr>
        <w:pStyle w:val="5"/>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7A18C36D">
      <w:pPr>
        <w:pStyle w:val="5"/>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0A756A3F">
      <w:pPr>
        <w:pStyle w:val="5"/>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bookmarkStart w:id="1" w:name="_GoBack"/>
      <w:bookmarkEnd w:id="1"/>
    </w:p>
    <w:p w14:paraId="4DE5A21D">
      <w:pPr>
        <w:pStyle w:val="5"/>
        <w:jc w:val="left"/>
        <w:outlineLvl w:val="2"/>
        <w:rPr>
          <w:rFonts w:hint="eastAsia" w:ascii="仿宋" w:hAnsi="仿宋" w:eastAsia="仿宋" w:cs="仿宋"/>
          <w:b/>
          <w:bCs/>
          <w:i w:val="0"/>
          <w:iCs w:val="0"/>
        </w:rPr>
      </w:pPr>
      <w:r>
        <w:rPr>
          <w:rFonts w:hint="eastAsia" w:ascii="仿宋" w:hAnsi="仿宋" w:eastAsia="仿宋" w:cs="仿宋"/>
          <w:b/>
          <w:bCs/>
          <w:i w:val="0"/>
          <w:iCs w:val="0"/>
          <w:sz w:val="24"/>
          <w:szCs w:val="24"/>
        </w:rPr>
        <w:t>采购包1：</w:t>
      </w:r>
    </w:p>
    <w:p w14:paraId="764ADFB5">
      <w:pPr>
        <w:pStyle w:val="5"/>
        <w:ind w:firstLine="480"/>
        <w:jc w:val="left"/>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本项目提供的产品，必须为“四川省药品和医用耗材招采管理系统”中已挂网产品（不含正在挂网和备案的产品）。</w:t>
      </w:r>
    </w:p>
    <w:tbl>
      <w:tblPr>
        <w:tblStyle w:val="2"/>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64"/>
        <w:gridCol w:w="694"/>
        <w:gridCol w:w="2251"/>
        <w:gridCol w:w="1143"/>
        <w:gridCol w:w="1201"/>
        <w:gridCol w:w="1201"/>
        <w:gridCol w:w="1465"/>
      </w:tblGrid>
      <w:tr w14:paraId="299C7E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331" w:type="pct"/>
            <w:vAlign w:val="center"/>
          </w:tcPr>
          <w:p w14:paraId="2B0AC502">
            <w:pPr>
              <w:pStyle w:val="5"/>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407" w:type="pct"/>
            <w:vAlign w:val="center"/>
          </w:tcPr>
          <w:p w14:paraId="585AC78E">
            <w:pPr>
              <w:pStyle w:val="5"/>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1320" w:type="pct"/>
            <w:vAlign w:val="center"/>
          </w:tcPr>
          <w:p w14:paraId="02120E9F">
            <w:pPr>
              <w:pStyle w:val="5"/>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670" w:type="pct"/>
            <w:vAlign w:val="center"/>
          </w:tcPr>
          <w:p w14:paraId="520565D7">
            <w:pPr>
              <w:pStyle w:val="5"/>
              <w:jc w:val="center"/>
              <w:rPr>
                <w:rFonts w:hint="eastAsia" w:ascii="仿宋" w:hAnsi="仿宋" w:eastAsia="仿宋" w:cs="仿宋"/>
                <w:lang w:val="en-US" w:eastAsia="zh-CN"/>
              </w:rPr>
            </w:pPr>
            <w:r>
              <w:rPr>
                <w:rFonts w:hint="eastAsia" w:ascii="仿宋" w:hAnsi="仿宋" w:eastAsia="仿宋" w:cs="仿宋"/>
                <w:lang w:val="en-US" w:eastAsia="zh-CN"/>
              </w:rPr>
              <w:t>★最高单价限价（元）</w:t>
            </w:r>
          </w:p>
        </w:tc>
        <w:tc>
          <w:tcPr>
            <w:tcW w:w="704" w:type="pct"/>
            <w:vAlign w:val="center"/>
          </w:tcPr>
          <w:p w14:paraId="6359C8E3">
            <w:pPr>
              <w:pStyle w:val="5"/>
              <w:jc w:val="center"/>
              <w:rPr>
                <w:rFonts w:hint="eastAsia" w:ascii="仿宋" w:hAnsi="仿宋" w:eastAsia="仿宋" w:cs="仿宋"/>
                <w:color w:val="auto"/>
                <w:lang w:val="en-US" w:eastAsia="zh-CN"/>
              </w:rPr>
            </w:pPr>
            <w:r>
              <w:rPr>
                <w:rFonts w:hint="eastAsia" w:ascii="仿宋" w:hAnsi="仿宋" w:eastAsia="仿宋" w:cs="仿宋"/>
                <w:color w:val="auto"/>
                <w:lang w:val="en-US" w:eastAsia="zh-CN"/>
              </w:rPr>
              <w:t>数量</w:t>
            </w:r>
          </w:p>
        </w:tc>
        <w:tc>
          <w:tcPr>
            <w:tcW w:w="704" w:type="pct"/>
            <w:vAlign w:val="center"/>
          </w:tcPr>
          <w:p w14:paraId="0ACD1C81">
            <w:pPr>
              <w:pStyle w:val="5"/>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859" w:type="pct"/>
            <w:vAlign w:val="center"/>
          </w:tcPr>
          <w:p w14:paraId="17C56273">
            <w:pPr>
              <w:pStyle w:val="5"/>
              <w:jc w:val="center"/>
              <w:rPr>
                <w:rFonts w:hint="eastAsia" w:ascii="仿宋" w:hAnsi="仿宋" w:eastAsia="仿宋" w:cs="仿宋"/>
                <w:lang w:val="en-US" w:eastAsia="zh-CN"/>
              </w:rPr>
            </w:pPr>
            <w:r>
              <w:rPr>
                <w:rFonts w:hint="eastAsia" w:ascii="仿宋" w:hAnsi="仿宋" w:eastAsia="仿宋" w:cs="仿宋"/>
                <w:lang w:val="en-US" w:eastAsia="zh-CN"/>
              </w:rPr>
              <w:t>预算金额/最高限价（每年）（元）</w:t>
            </w:r>
          </w:p>
        </w:tc>
      </w:tr>
      <w:tr w14:paraId="3391D8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331" w:type="pct"/>
            <w:vMerge w:val="restart"/>
            <w:vAlign w:val="center"/>
          </w:tcPr>
          <w:p w14:paraId="5F9135D8">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407" w:type="pct"/>
            <w:vAlign w:val="center"/>
          </w:tcPr>
          <w:p w14:paraId="39EBE636">
            <w:pPr>
              <w:pStyle w:val="5"/>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1320" w:type="pct"/>
            <w:vAlign w:val="center"/>
          </w:tcPr>
          <w:p w14:paraId="77C5E2C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一次性使用单向阀输液接口（两接口型）</w:t>
            </w:r>
          </w:p>
        </w:tc>
        <w:tc>
          <w:tcPr>
            <w:tcW w:w="670" w:type="pct"/>
            <w:vAlign w:val="center"/>
          </w:tcPr>
          <w:p w14:paraId="1A8F7727">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36</w:t>
            </w:r>
          </w:p>
        </w:tc>
        <w:tc>
          <w:tcPr>
            <w:tcW w:w="704" w:type="pct"/>
            <w:shd w:val="clear" w:color="auto" w:fill="auto"/>
            <w:vAlign w:val="center"/>
          </w:tcPr>
          <w:p w14:paraId="1AF4685E">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auto"/>
                <w:kern w:val="0"/>
                <w:sz w:val="22"/>
                <w:szCs w:val="22"/>
                <w:u w:val="none"/>
                <w:lang w:val="en-US" w:eastAsia="zh-CN" w:bidi="ar"/>
              </w:rPr>
              <w:t>700</w:t>
            </w:r>
          </w:p>
        </w:tc>
        <w:tc>
          <w:tcPr>
            <w:tcW w:w="704" w:type="pct"/>
            <w:vAlign w:val="center"/>
          </w:tcPr>
          <w:p w14:paraId="434C7B5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个</w:t>
            </w:r>
          </w:p>
        </w:tc>
        <w:tc>
          <w:tcPr>
            <w:tcW w:w="859" w:type="pct"/>
            <w:vAlign w:val="center"/>
          </w:tcPr>
          <w:p w14:paraId="64CEBF14">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25200.00</w:t>
            </w:r>
          </w:p>
        </w:tc>
      </w:tr>
      <w:tr w14:paraId="557B88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331" w:type="pct"/>
            <w:vMerge w:val="continue"/>
            <w:vAlign w:val="center"/>
          </w:tcPr>
          <w:p w14:paraId="0D035598">
            <w:pPr>
              <w:pStyle w:val="5"/>
              <w:jc w:val="center"/>
              <w:rPr>
                <w:rFonts w:hint="eastAsia" w:ascii="仿宋" w:hAnsi="仿宋" w:eastAsia="仿宋" w:cs="仿宋"/>
                <w:sz w:val="21"/>
                <w:szCs w:val="21"/>
                <w:lang w:val="en-US" w:eastAsia="zh-CN"/>
              </w:rPr>
            </w:pPr>
          </w:p>
        </w:tc>
        <w:tc>
          <w:tcPr>
            <w:tcW w:w="407" w:type="pct"/>
            <w:vAlign w:val="center"/>
          </w:tcPr>
          <w:p w14:paraId="4B17C6D6">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1320" w:type="pct"/>
            <w:vAlign w:val="center"/>
          </w:tcPr>
          <w:p w14:paraId="689C3278">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一次性使用单向阀输液接口（三接口型）</w:t>
            </w:r>
          </w:p>
        </w:tc>
        <w:tc>
          <w:tcPr>
            <w:tcW w:w="670" w:type="pct"/>
            <w:vAlign w:val="center"/>
          </w:tcPr>
          <w:p w14:paraId="44B0D8F4">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40</w:t>
            </w:r>
          </w:p>
        </w:tc>
        <w:tc>
          <w:tcPr>
            <w:tcW w:w="704" w:type="pct"/>
            <w:shd w:val="clear" w:color="auto" w:fill="auto"/>
            <w:vAlign w:val="center"/>
          </w:tcPr>
          <w:p w14:paraId="2C82D72E">
            <w:pPr>
              <w:keepNext w:val="0"/>
              <w:keepLines w:val="0"/>
              <w:widowControl/>
              <w:suppressLineNumbers w:val="0"/>
              <w:jc w:val="center"/>
              <w:textAlignment w:val="center"/>
              <w:rPr>
                <w:rFonts w:hint="eastAsia" w:ascii="仿宋" w:hAnsi="仿宋" w:eastAsia="仿宋" w:cs="仿宋"/>
                <w:b w:val="0"/>
                <w:bCs w:val="0"/>
                <w:color w:val="auto"/>
                <w:kern w:val="2"/>
                <w:sz w:val="20"/>
                <w:szCs w:val="20"/>
                <w:highlight w:val="none"/>
                <w:shd w:val="clear" w:color="auto" w:fill="auto"/>
                <w:lang w:val="en-US" w:eastAsia="zh-CN" w:bidi="ar-SA"/>
              </w:rPr>
            </w:pPr>
            <w:r>
              <w:rPr>
                <w:rFonts w:hint="eastAsia" w:ascii="仿宋" w:hAnsi="仿宋" w:eastAsia="仿宋" w:cs="仿宋"/>
                <w:i w:val="0"/>
                <w:iCs w:val="0"/>
                <w:color w:val="auto"/>
                <w:kern w:val="0"/>
                <w:sz w:val="22"/>
                <w:szCs w:val="22"/>
                <w:u w:val="none"/>
                <w:lang w:val="en-US" w:eastAsia="zh-CN" w:bidi="ar"/>
              </w:rPr>
              <w:t>3850</w:t>
            </w:r>
          </w:p>
        </w:tc>
        <w:tc>
          <w:tcPr>
            <w:tcW w:w="704" w:type="pct"/>
            <w:vAlign w:val="center"/>
          </w:tcPr>
          <w:p w14:paraId="2EDE16E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个</w:t>
            </w:r>
          </w:p>
        </w:tc>
        <w:tc>
          <w:tcPr>
            <w:tcW w:w="859" w:type="pct"/>
            <w:vAlign w:val="center"/>
          </w:tcPr>
          <w:p w14:paraId="6D98E376">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154000.00</w:t>
            </w:r>
          </w:p>
        </w:tc>
      </w:tr>
    </w:tbl>
    <w:p w14:paraId="0C48D2B6">
      <w:pPr>
        <w:pStyle w:val="5"/>
        <w:ind w:firstLine="480"/>
        <w:jc w:val="left"/>
        <w:rPr>
          <w:rFonts w:hint="eastAsia" w:ascii="仿宋" w:hAnsi="仿宋" w:eastAsia="仿宋" w:cs="仿宋"/>
        </w:rPr>
      </w:pPr>
    </w:p>
    <w:p w14:paraId="13C3C6BF">
      <w:pPr>
        <w:pStyle w:val="5"/>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7031B07A">
      <w:pPr>
        <w:pStyle w:val="5"/>
        <w:jc w:val="left"/>
        <w:rPr>
          <w:rFonts w:hint="eastAsia" w:ascii="仿宋" w:hAnsi="仿宋" w:eastAsia="仿宋" w:cs="仿宋"/>
        </w:rPr>
      </w:pPr>
    </w:p>
    <w:p w14:paraId="17F65590">
      <w:pPr>
        <w:pStyle w:val="5"/>
        <w:jc w:val="left"/>
        <w:outlineLvl w:val="1"/>
        <w:rPr>
          <w:rFonts w:hint="eastAsia" w:ascii="仿宋" w:hAnsi="仿宋" w:eastAsia="仿宋" w:cs="仿宋"/>
          <w:lang w:eastAsia="zh-CN"/>
        </w:rPr>
      </w:pPr>
      <w:r>
        <w:rPr>
          <w:rFonts w:hint="eastAsia" w:ascii="仿宋" w:hAnsi="仿宋" w:eastAsia="仿宋" w:cs="仿宋"/>
          <w:b/>
          <w:sz w:val="28"/>
        </w:rPr>
        <w:t>3.2.技术要求</w:t>
      </w:r>
    </w:p>
    <w:p w14:paraId="64632063">
      <w:pPr>
        <w:pStyle w:val="5"/>
        <w:jc w:val="left"/>
        <w:outlineLvl w:val="2"/>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3"/>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3015"/>
        <w:gridCol w:w="3255"/>
        <w:gridCol w:w="1662"/>
      </w:tblGrid>
      <w:tr w14:paraId="30A6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noWrap w:val="0"/>
            <w:vAlign w:val="top"/>
          </w:tcPr>
          <w:p w14:paraId="2DAAFDBA">
            <w:pPr>
              <w:numPr>
                <w:ilvl w:val="0"/>
                <w:numId w:val="0"/>
              </w:numPr>
              <w:spacing w:line="400" w:lineRule="exact"/>
              <w:jc w:val="left"/>
              <w:rPr>
                <w:rFonts w:hint="eastAsia" w:ascii="宋体" w:hAnsi="宋体" w:eastAsia="宋体" w:cs="宋体"/>
                <w:b/>
                <w:bCs/>
                <w:color w:val="auto"/>
                <w:sz w:val="24"/>
                <w:szCs w:val="24"/>
                <w:highlight w:val="none"/>
                <w:shd w:val="clear" w:color="auto" w:fill="auto"/>
                <w:vertAlign w:val="baseline"/>
                <w:lang w:val="en-US" w:eastAsia="zh-CN"/>
              </w:rPr>
            </w:pPr>
            <w:r>
              <w:rPr>
                <w:rFonts w:hint="eastAsia" w:ascii="宋体" w:hAnsi="宋体" w:eastAsia="宋体" w:cs="宋体"/>
                <w:b/>
                <w:bCs/>
                <w:color w:val="auto"/>
                <w:sz w:val="24"/>
                <w:szCs w:val="24"/>
                <w:highlight w:val="none"/>
                <w:shd w:val="clear" w:color="auto" w:fill="auto"/>
                <w:vertAlign w:val="baseline"/>
                <w:lang w:val="en-US" w:eastAsia="zh-CN"/>
              </w:rPr>
              <w:t>序号</w:t>
            </w:r>
          </w:p>
        </w:tc>
        <w:tc>
          <w:tcPr>
            <w:tcW w:w="3015" w:type="dxa"/>
            <w:noWrap w:val="0"/>
            <w:vAlign w:val="center"/>
          </w:tcPr>
          <w:p w14:paraId="689D3E20">
            <w:pPr>
              <w:keepNext w:val="0"/>
              <w:keepLines w:val="0"/>
              <w:widowControl/>
              <w:suppressLineNumbers w:val="0"/>
              <w:jc w:val="center"/>
              <w:textAlignment w:val="center"/>
              <w:rPr>
                <w:rFonts w:hint="eastAsia" w:ascii="宋体" w:hAnsi="宋体" w:eastAsia="宋体" w:cs="宋体"/>
                <w:b/>
                <w:bCs/>
                <w:i w:val="0"/>
                <w:iCs w:val="0"/>
                <w:color w:val="000000"/>
                <w:kern w:val="2"/>
                <w:sz w:val="24"/>
                <w:szCs w:val="24"/>
                <w:u w:val="none"/>
                <w:lang w:val="en-US" w:eastAsia="zh-CN" w:bidi="ar-SA"/>
              </w:rPr>
            </w:pPr>
            <w:r>
              <w:rPr>
                <w:rFonts w:hint="eastAsia" w:ascii="宋体" w:hAnsi="宋体" w:eastAsia="宋体" w:cs="宋体"/>
                <w:b/>
                <w:bCs/>
                <w:i w:val="0"/>
                <w:iCs w:val="0"/>
                <w:color w:val="000000"/>
                <w:kern w:val="0"/>
                <w:sz w:val="24"/>
                <w:szCs w:val="24"/>
                <w:u w:val="none"/>
                <w:lang w:val="en-US" w:eastAsia="zh-CN" w:bidi="ar"/>
              </w:rPr>
              <w:t>名称</w:t>
            </w:r>
          </w:p>
        </w:tc>
        <w:tc>
          <w:tcPr>
            <w:tcW w:w="3255" w:type="dxa"/>
            <w:noWrap w:val="0"/>
            <w:vAlign w:val="top"/>
          </w:tcPr>
          <w:p w14:paraId="2A268E22">
            <w:pPr>
              <w:numPr>
                <w:ilvl w:val="0"/>
                <w:numId w:val="0"/>
              </w:numPr>
              <w:spacing w:line="400" w:lineRule="exact"/>
              <w:jc w:val="center"/>
              <w:rPr>
                <w:rFonts w:hint="eastAsia" w:ascii="宋体" w:hAnsi="宋体" w:eastAsia="宋体" w:cs="宋体"/>
                <w:b/>
                <w:bCs/>
                <w:color w:val="auto"/>
                <w:sz w:val="24"/>
                <w:szCs w:val="24"/>
                <w:highlight w:val="none"/>
                <w:shd w:val="clear" w:color="auto" w:fill="auto"/>
                <w:vertAlign w:val="baseline"/>
                <w:lang w:val="en-US" w:eastAsia="zh-CN"/>
              </w:rPr>
            </w:pPr>
            <w:r>
              <w:rPr>
                <w:rFonts w:hint="eastAsia" w:ascii="宋体" w:hAnsi="宋体" w:eastAsia="宋体" w:cs="宋体"/>
                <w:b/>
                <w:bCs/>
                <w:color w:val="auto"/>
                <w:sz w:val="24"/>
                <w:szCs w:val="24"/>
                <w:highlight w:val="none"/>
                <w:shd w:val="clear" w:color="auto" w:fill="auto"/>
                <w:vertAlign w:val="baseline"/>
                <w:lang w:val="en-US" w:eastAsia="zh-CN"/>
              </w:rPr>
              <w:t>★预期用途</w:t>
            </w:r>
          </w:p>
        </w:tc>
        <w:tc>
          <w:tcPr>
            <w:tcW w:w="1662" w:type="dxa"/>
            <w:noWrap w:val="0"/>
            <w:vAlign w:val="center"/>
          </w:tcPr>
          <w:p w14:paraId="5C7E14BC">
            <w:pPr>
              <w:keepNext w:val="0"/>
              <w:keepLines w:val="0"/>
              <w:widowControl/>
              <w:suppressLineNumbers w:val="0"/>
              <w:jc w:val="center"/>
              <w:textAlignment w:val="center"/>
              <w:rPr>
                <w:rFonts w:hint="eastAsia" w:ascii="宋体" w:hAnsi="宋体" w:eastAsia="宋体" w:cs="宋体"/>
                <w:b/>
                <w:bCs/>
                <w:color w:val="auto"/>
                <w:sz w:val="24"/>
                <w:szCs w:val="24"/>
                <w:highlight w:val="none"/>
                <w:shd w:val="clear" w:color="auto" w:fill="auto"/>
                <w:vertAlign w:val="baseline"/>
                <w:lang w:val="en-US" w:eastAsia="zh-CN"/>
              </w:rPr>
            </w:pPr>
            <w:r>
              <w:rPr>
                <w:rFonts w:hint="eastAsia" w:ascii="宋体" w:hAnsi="宋体" w:eastAsia="宋体" w:cs="宋体"/>
                <w:b/>
                <w:bCs/>
                <w:i w:val="0"/>
                <w:iCs w:val="0"/>
                <w:color w:val="000000"/>
                <w:kern w:val="0"/>
                <w:sz w:val="24"/>
                <w:szCs w:val="24"/>
                <w:u w:val="none"/>
                <w:lang w:val="en-US" w:eastAsia="zh-CN" w:bidi="ar"/>
              </w:rPr>
              <w:t>参考型号</w:t>
            </w:r>
          </w:p>
        </w:tc>
      </w:tr>
      <w:tr w14:paraId="487B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48" w:type="dxa"/>
            <w:noWrap w:val="0"/>
            <w:vAlign w:val="top"/>
          </w:tcPr>
          <w:p w14:paraId="165AA2B3">
            <w:pPr>
              <w:numPr>
                <w:ilvl w:val="0"/>
                <w:numId w:val="0"/>
              </w:numPr>
              <w:spacing w:line="400" w:lineRule="exact"/>
              <w:jc w:val="center"/>
              <w:rPr>
                <w:rFonts w:hint="eastAsia" w:ascii="宋体" w:hAnsi="宋体" w:eastAsia="宋体" w:cs="宋体"/>
                <w:b/>
                <w:bCs/>
                <w:color w:val="auto"/>
                <w:sz w:val="24"/>
                <w:szCs w:val="24"/>
                <w:highlight w:val="none"/>
                <w:shd w:val="clear" w:color="auto" w:fill="auto"/>
                <w:vertAlign w:val="baseline"/>
                <w:lang w:val="en-US" w:eastAsia="zh-CN"/>
              </w:rPr>
            </w:pPr>
            <w:r>
              <w:rPr>
                <w:rFonts w:hint="eastAsia" w:ascii="宋体" w:hAnsi="宋体" w:eastAsia="宋体" w:cs="宋体"/>
                <w:b/>
                <w:bCs/>
                <w:color w:val="auto"/>
                <w:sz w:val="24"/>
                <w:szCs w:val="24"/>
                <w:highlight w:val="none"/>
                <w:shd w:val="clear" w:color="auto" w:fill="auto"/>
                <w:vertAlign w:val="baseline"/>
                <w:lang w:val="en-US" w:eastAsia="zh-CN"/>
              </w:rPr>
              <w:t>1</w:t>
            </w:r>
          </w:p>
        </w:tc>
        <w:tc>
          <w:tcPr>
            <w:tcW w:w="3015" w:type="dxa"/>
            <w:noWrap w:val="0"/>
            <w:vAlign w:val="center"/>
          </w:tcPr>
          <w:p w14:paraId="76A7F6D9">
            <w:pPr>
              <w:keepNext w:val="0"/>
              <w:keepLines w:val="0"/>
              <w:widowControl/>
              <w:suppressLineNumbers w:val="0"/>
              <w:jc w:val="left"/>
              <w:textAlignment w:val="center"/>
              <w:rPr>
                <w:rFonts w:hint="eastAsia" w:ascii="仿宋" w:hAnsi="仿宋" w:eastAsia="仿宋" w:cs="仿宋"/>
                <w:b w:val="0"/>
                <w:bCs w:val="0"/>
                <w:color w:val="000000"/>
                <w:kern w:val="0"/>
                <w:sz w:val="22"/>
                <w:szCs w:val="22"/>
                <w:u w:val="none"/>
                <w:shd w:val="clear"/>
                <w:vertAlign w:val="baseline"/>
                <w:lang w:val="en-US" w:eastAsia="zh-CN" w:bidi="ar"/>
              </w:rPr>
            </w:pPr>
            <w:r>
              <w:rPr>
                <w:rFonts w:hint="eastAsia" w:ascii="仿宋" w:hAnsi="仿宋" w:eastAsia="仿宋" w:cs="仿宋"/>
                <w:i w:val="0"/>
                <w:iCs w:val="0"/>
                <w:color w:val="000000"/>
                <w:kern w:val="0"/>
                <w:sz w:val="22"/>
                <w:szCs w:val="22"/>
                <w:u w:val="none"/>
                <w:lang w:val="en-US" w:eastAsia="zh-CN" w:bidi="ar"/>
              </w:rPr>
              <w:t>一次性使用单向阀输液接口</w:t>
            </w:r>
          </w:p>
        </w:tc>
        <w:tc>
          <w:tcPr>
            <w:tcW w:w="3255" w:type="dxa"/>
            <w:noWrap w:val="0"/>
            <w:vAlign w:val="center"/>
          </w:tcPr>
          <w:p w14:paraId="5EE83C64">
            <w:pPr>
              <w:keepNext w:val="0"/>
              <w:keepLines w:val="0"/>
              <w:widowControl/>
              <w:suppressLineNumbers w:val="0"/>
              <w:jc w:val="left"/>
              <w:textAlignment w:val="center"/>
              <w:rPr>
                <w:rFonts w:hint="eastAsia" w:ascii="仿宋" w:hAnsi="仿宋" w:eastAsia="仿宋" w:cs="仿宋"/>
                <w:b w:val="0"/>
                <w:bCs w:val="0"/>
                <w:color w:val="000000"/>
                <w:kern w:val="0"/>
                <w:sz w:val="22"/>
                <w:szCs w:val="22"/>
                <w:u w:val="none"/>
                <w:shd w:val="clear"/>
                <w:vertAlign w:val="baseline"/>
                <w:lang w:val="en-US" w:eastAsia="zh-CN" w:bidi="ar"/>
              </w:rPr>
            </w:pPr>
            <w:r>
              <w:rPr>
                <w:rFonts w:hint="eastAsia" w:ascii="仿宋" w:hAnsi="仿宋" w:eastAsia="仿宋" w:cs="仿宋"/>
                <w:i w:val="0"/>
                <w:iCs w:val="0"/>
                <w:color w:val="000000"/>
                <w:kern w:val="0"/>
                <w:sz w:val="22"/>
                <w:szCs w:val="22"/>
                <w:u w:val="none"/>
                <w:lang w:val="en-US" w:eastAsia="zh-CN" w:bidi="ar"/>
              </w:rPr>
              <w:t>用于危重病人多通道泵入药物。</w:t>
            </w:r>
          </w:p>
        </w:tc>
        <w:tc>
          <w:tcPr>
            <w:tcW w:w="1662" w:type="dxa"/>
            <w:noWrap w:val="0"/>
            <w:vAlign w:val="center"/>
          </w:tcPr>
          <w:p w14:paraId="78C6DB95">
            <w:pPr>
              <w:keepNext w:val="0"/>
              <w:keepLines w:val="0"/>
              <w:widowControl/>
              <w:suppressLineNumbers w:val="0"/>
              <w:jc w:val="center"/>
              <w:textAlignment w:val="center"/>
              <w:rPr>
                <w:rFonts w:hint="eastAsia" w:ascii="仿宋" w:hAnsi="仿宋" w:eastAsia="仿宋" w:cs="仿宋"/>
                <w:b w:val="0"/>
                <w:bCs w:val="0"/>
                <w:color w:val="000000"/>
                <w:kern w:val="0"/>
                <w:sz w:val="22"/>
                <w:szCs w:val="22"/>
                <w:u w:val="none"/>
                <w:shd w:val="clear"/>
                <w:vertAlign w:val="baseline"/>
                <w:lang w:val="en-US" w:eastAsia="zh-CN" w:bidi="ar"/>
              </w:rPr>
            </w:pPr>
            <w:r>
              <w:rPr>
                <w:rFonts w:hint="eastAsia" w:ascii="仿宋" w:hAnsi="仿宋" w:eastAsia="仿宋" w:cs="仿宋"/>
                <w:i w:val="0"/>
                <w:iCs w:val="0"/>
                <w:color w:val="000000"/>
                <w:kern w:val="0"/>
                <w:sz w:val="22"/>
                <w:szCs w:val="22"/>
                <w:u w:val="none"/>
                <w:lang w:val="en-US" w:eastAsia="zh-CN" w:bidi="ar"/>
              </w:rPr>
              <w:t>两接口</w:t>
            </w:r>
          </w:p>
        </w:tc>
      </w:tr>
      <w:tr w14:paraId="7909E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48" w:type="dxa"/>
            <w:noWrap w:val="0"/>
            <w:vAlign w:val="top"/>
          </w:tcPr>
          <w:p w14:paraId="28CDCED6">
            <w:pPr>
              <w:numPr>
                <w:ilvl w:val="0"/>
                <w:numId w:val="0"/>
              </w:numPr>
              <w:spacing w:line="400" w:lineRule="exact"/>
              <w:jc w:val="center"/>
              <w:rPr>
                <w:rFonts w:hint="eastAsia" w:ascii="宋体" w:hAnsi="宋体" w:eastAsia="宋体" w:cs="宋体"/>
                <w:b/>
                <w:bCs/>
                <w:color w:val="auto"/>
                <w:sz w:val="24"/>
                <w:szCs w:val="24"/>
                <w:highlight w:val="none"/>
                <w:shd w:val="clear" w:color="auto" w:fill="auto"/>
                <w:vertAlign w:val="baseline"/>
                <w:lang w:val="en-US" w:eastAsia="zh-CN"/>
              </w:rPr>
            </w:pPr>
            <w:r>
              <w:rPr>
                <w:rFonts w:hint="eastAsia" w:ascii="宋体" w:hAnsi="宋体" w:eastAsia="宋体" w:cs="宋体"/>
                <w:b/>
                <w:bCs/>
                <w:color w:val="auto"/>
                <w:sz w:val="24"/>
                <w:szCs w:val="24"/>
                <w:highlight w:val="none"/>
                <w:shd w:val="clear" w:color="auto" w:fill="auto"/>
                <w:vertAlign w:val="baseline"/>
                <w:lang w:val="en-US" w:eastAsia="zh-CN"/>
              </w:rPr>
              <w:t>2</w:t>
            </w:r>
          </w:p>
        </w:tc>
        <w:tc>
          <w:tcPr>
            <w:tcW w:w="3015" w:type="dxa"/>
            <w:noWrap w:val="0"/>
            <w:vAlign w:val="center"/>
          </w:tcPr>
          <w:p w14:paraId="07A50B5B">
            <w:pPr>
              <w:keepNext w:val="0"/>
              <w:keepLines w:val="0"/>
              <w:widowControl/>
              <w:suppressLineNumbers w:val="0"/>
              <w:jc w:val="left"/>
              <w:textAlignment w:val="center"/>
              <w:rPr>
                <w:rFonts w:hint="eastAsia" w:ascii="仿宋" w:hAnsi="仿宋" w:eastAsia="仿宋" w:cs="仿宋"/>
                <w:b w:val="0"/>
                <w:bCs w:val="0"/>
                <w:color w:val="000000"/>
                <w:kern w:val="0"/>
                <w:sz w:val="22"/>
                <w:szCs w:val="22"/>
                <w:u w:val="none"/>
                <w:shd w:val="clear"/>
                <w:vertAlign w:val="baseline"/>
                <w:lang w:val="en-US" w:eastAsia="zh-CN" w:bidi="ar"/>
              </w:rPr>
            </w:pPr>
            <w:r>
              <w:rPr>
                <w:rFonts w:hint="eastAsia" w:ascii="仿宋" w:hAnsi="仿宋" w:eastAsia="仿宋" w:cs="仿宋"/>
                <w:i w:val="0"/>
                <w:iCs w:val="0"/>
                <w:color w:val="000000"/>
                <w:kern w:val="0"/>
                <w:sz w:val="22"/>
                <w:szCs w:val="22"/>
                <w:u w:val="none"/>
                <w:lang w:val="en-US" w:eastAsia="zh-CN" w:bidi="ar"/>
              </w:rPr>
              <w:t>一次性使用单向阀输液接口</w:t>
            </w:r>
          </w:p>
        </w:tc>
        <w:tc>
          <w:tcPr>
            <w:tcW w:w="3255" w:type="dxa"/>
            <w:noWrap w:val="0"/>
            <w:vAlign w:val="center"/>
          </w:tcPr>
          <w:p w14:paraId="29CA3DD4">
            <w:pPr>
              <w:keepNext w:val="0"/>
              <w:keepLines w:val="0"/>
              <w:widowControl/>
              <w:suppressLineNumbers w:val="0"/>
              <w:jc w:val="left"/>
              <w:textAlignment w:val="center"/>
              <w:rPr>
                <w:rFonts w:hint="eastAsia" w:ascii="仿宋" w:hAnsi="仿宋" w:eastAsia="仿宋" w:cs="仿宋"/>
                <w:b w:val="0"/>
                <w:bCs w:val="0"/>
                <w:color w:val="000000"/>
                <w:kern w:val="0"/>
                <w:sz w:val="22"/>
                <w:szCs w:val="22"/>
                <w:u w:val="none"/>
                <w:shd w:val="clear"/>
                <w:vertAlign w:val="baseline"/>
                <w:lang w:val="en-US" w:eastAsia="zh-CN" w:bidi="ar"/>
              </w:rPr>
            </w:pPr>
            <w:r>
              <w:rPr>
                <w:rFonts w:hint="eastAsia" w:ascii="仿宋" w:hAnsi="仿宋" w:eastAsia="仿宋" w:cs="仿宋"/>
                <w:i w:val="0"/>
                <w:iCs w:val="0"/>
                <w:color w:val="000000"/>
                <w:kern w:val="0"/>
                <w:sz w:val="22"/>
                <w:szCs w:val="22"/>
                <w:u w:val="none"/>
                <w:lang w:val="en-US" w:eastAsia="zh-CN" w:bidi="ar"/>
              </w:rPr>
              <w:t>用于危重病人多通道泵入药物。</w:t>
            </w:r>
          </w:p>
        </w:tc>
        <w:tc>
          <w:tcPr>
            <w:tcW w:w="1662" w:type="dxa"/>
            <w:noWrap w:val="0"/>
            <w:vAlign w:val="center"/>
          </w:tcPr>
          <w:p w14:paraId="1B8A4BC2">
            <w:pPr>
              <w:keepNext w:val="0"/>
              <w:keepLines w:val="0"/>
              <w:widowControl/>
              <w:suppressLineNumbers w:val="0"/>
              <w:jc w:val="center"/>
              <w:textAlignment w:val="center"/>
              <w:rPr>
                <w:rFonts w:hint="eastAsia" w:ascii="仿宋" w:hAnsi="仿宋" w:eastAsia="仿宋" w:cs="仿宋"/>
                <w:b w:val="0"/>
                <w:bCs w:val="0"/>
                <w:color w:val="000000"/>
                <w:kern w:val="0"/>
                <w:sz w:val="22"/>
                <w:szCs w:val="22"/>
                <w:u w:val="none"/>
                <w:shd w:val="clear"/>
                <w:vertAlign w:val="baseline"/>
                <w:lang w:val="en-US" w:eastAsia="zh-CN" w:bidi="ar"/>
              </w:rPr>
            </w:pPr>
            <w:r>
              <w:rPr>
                <w:rFonts w:hint="eastAsia" w:ascii="仿宋" w:hAnsi="仿宋" w:eastAsia="仿宋" w:cs="仿宋"/>
                <w:i w:val="0"/>
                <w:iCs w:val="0"/>
                <w:color w:val="000000"/>
                <w:kern w:val="0"/>
                <w:sz w:val="22"/>
                <w:szCs w:val="22"/>
                <w:u w:val="none"/>
                <w:lang w:val="en-US" w:eastAsia="zh-CN" w:bidi="ar"/>
              </w:rPr>
              <w:t>三接口</w:t>
            </w:r>
          </w:p>
        </w:tc>
      </w:tr>
    </w:tbl>
    <w:p w14:paraId="047606E0">
      <w:pPr>
        <w:pStyle w:val="5"/>
        <w:jc w:val="left"/>
        <w:outlineLvl w:val="9"/>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3B2EFCD0">
      <w:pPr>
        <w:pStyle w:val="5"/>
        <w:jc w:val="left"/>
        <w:outlineLvl w:val="9"/>
        <w:rPr>
          <w:rFonts w:hint="eastAsia" w:ascii="仿宋" w:hAnsi="仿宋" w:eastAsia="仿宋" w:cs="仿宋"/>
          <w:b/>
          <w:sz w:val="28"/>
        </w:rPr>
      </w:pPr>
    </w:p>
    <w:p w14:paraId="14A79C1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543528B9">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16551CAC">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本项目所有标的均须提供挂网产品。</w:t>
      </w:r>
    </w:p>
    <w:p w14:paraId="47972FC8">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注：本项目中所指“挂网产品”，为“四川省药品和医用耗材招采管理系统”中已挂网产品（不含正在挂网和备案的产品）。</w:t>
      </w:r>
    </w:p>
    <w:p w14:paraId="78461FFB">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二、样品要求</w:t>
      </w:r>
    </w:p>
    <w:p w14:paraId="40FC4C1F">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1.必须提供样品，以供评审专家现场评审（如样品和标的产品有同一材质的，竞选人可提供承诺函证明标的产品与样品为同一材质，则无需提供所有标的产品作为样品）。</w:t>
      </w:r>
    </w:p>
    <w:p w14:paraId="52FA8921">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1D633DD4">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63BD4ED6">
      <w:pPr>
        <w:ind w:firstLine="442" w:firstLineChars="200"/>
        <w:jc w:val="left"/>
        <w:textAlignment w:val="center"/>
        <w:rPr>
          <w:rFonts w:hint="default"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bCs/>
          <w:color w:val="000000"/>
          <w:kern w:val="0"/>
          <w:sz w:val="22"/>
          <w:szCs w:val="22"/>
          <w:highlight w:val="yellow"/>
          <w:u w:val="none"/>
          <w:lang w:val="en-US" w:eastAsia="zh-CN" w:bidi="ar"/>
        </w:rPr>
        <w:t>注：样品包装需完整，样品评审时将由采购代理机构拍照留存，作为后期验收的依据。</w:t>
      </w:r>
    </w:p>
    <w:p w14:paraId="06CE65D5">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41653540">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6AB788D8">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（1）交货期：每次配送时间必须严格按照采购人配送通知执行，成交供应商应于收到通知后2小时内响应。急救耗材的配送时间不应超过4小时，一般耗材原则上的配送时间不应超过2个工作日；</w:t>
      </w:r>
    </w:p>
    <w:p w14:paraId="2CCA6C0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（2）交货地点：内江</w:t>
      </w:r>
      <w:r>
        <w:rPr>
          <w:rFonts w:hint="eastAsia" w:ascii="仿宋" w:hAnsi="仿宋" w:eastAsia="仿宋" w:cs="仿宋"/>
          <w:color w:val="000000"/>
          <w:kern w:val="0"/>
          <w:sz w:val="22"/>
          <w:szCs w:val="22"/>
          <w:u w:val="none"/>
          <w:lang w:val="en-US" w:eastAsia="zh-CN" w:bidi="ar"/>
        </w:rPr>
        <w:t>市第一人民医院指定地点。</w:t>
      </w:r>
    </w:p>
    <w:p w14:paraId="686B4A8D">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7BB42DF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（1）结算方式：货款按实结算且由双方协商决定；</w:t>
      </w:r>
    </w:p>
    <w:p w14:paraId="51FEBBDE">
      <w:pPr>
        <w:ind w:firstLine="440" w:firstLineChars="200"/>
        <w:jc w:val="left"/>
        <w:textAlignment w:val="center"/>
        <w:rPr>
          <w:rFonts w:hint="eastAsia" w:ascii="仿宋" w:hAnsi="仿宋" w:eastAsia="仿宋" w:cs="仿宋"/>
          <w:sz w:val="24"/>
          <w:szCs w:val="24"/>
          <w:lang w:val="en-US" w:eastAsia="zh-CN"/>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w:t>
      </w:r>
      <w:r>
        <w:rPr>
          <w:rFonts w:hint="eastAsia" w:ascii="仿宋" w:hAnsi="仿宋" w:eastAsia="仿宋" w:cs="仿宋"/>
          <w:sz w:val="24"/>
          <w:szCs w:val="24"/>
          <w:lang w:val="en-US" w:eastAsia="zh-CN"/>
        </w:rPr>
        <w:t>。</w:t>
      </w:r>
    </w:p>
    <w:p w14:paraId="45D52C52">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3.医用耗材质量保证</w:t>
      </w:r>
    </w:p>
    <w:p w14:paraId="6CEB11B8">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u w:val="none"/>
          <w:lang w:val="en-US" w:eastAsia="zh-CN" w:bidi="ar"/>
        </w:rPr>
        <w:t>（1）</w:t>
      </w:r>
      <w:r>
        <w:rPr>
          <w:rFonts w:hint="default" w:ascii="仿宋" w:hAnsi="仿宋" w:eastAsia="仿宋" w:cs="仿宋"/>
          <w:color w:val="auto"/>
          <w:kern w:val="0"/>
          <w:sz w:val="22"/>
          <w:szCs w:val="22"/>
          <w:u w:val="none"/>
          <w:lang w:val="en-US" w:eastAsia="zh-CN" w:bidi="ar"/>
        </w:rPr>
        <w:t>成交供应商</w:t>
      </w:r>
      <w:r>
        <w:rPr>
          <w:rFonts w:hint="eastAsia" w:ascii="仿宋" w:hAnsi="仿宋" w:eastAsia="仿宋" w:cs="仿宋"/>
          <w:color w:val="auto"/>
          <w:kern w:val="0"/>
          <w:sz w:val="22"/>
          <w:szCs w:val="22"/>
          <w:u w:val="none"/>
          <w:lang w:val="en-US" w:eastAsia="zh-CN" w:bidi="ar"/>
        </w:rPr>
        <w:t>须提供原厂生产的未曾使用过的、全新的合格的货品（含配套配件等），</w:t>
      </w:r>
      <w:r>
        <w:rPr>
          <w:rFonts w:hint="eastAsia" w:ascii="仿宋" w:hAnsi="仿宋" w:eastAsia="仿宋" w:cs="仿宋"/>
          <w:color w:val="auto"/>
          <w:kern w:val="0"/>
          <w:sz w:val="22"/>
          <w:szCs w:val="22"/>
          <w:highlight w:val="none"/>
          <w:u w:val="none"/>
          <w:lang w:val="en-US" w:eastAsia="zh-CN" w:bidi="ar"/>
        </w:rPr>
        <w:t>表面无划伤、无破损痕迹，且权属清楚，不得侵害他人的合法权利；</w:t>
      </w:r>
    </w:p>
    <w:p w14:paraId="58BDC7AB">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2）成交供应商所提供货品须符合或优于国家（行业）标准、本项目竞选文件要求及响应文件响应内容。当响应文件响应内容与竞选文件要求不一致时，以响应文件响应内容为准。当响应文件响应内容与国家标准、行业标准（若有）不一致时，以较高标准为准；</w:t>
      </w:r>
    </w:p>
    <w:p w14:paraId="61343F17">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（3）成交供应商</w:t>
      </w:r>
      <w:r>
        <w:rPr>
          <w:rFonts w:hint="eastAsia" w:ascii="仿宋" w:hAnsi="仿宋" w:eastAsia="仿宋" w:cs="仿宋"/>
          <w:color w:val="auto"/>
          <w:sz w:val="22"/>
          <w:szCs w:val="22"/>
          <w:highlight w:val="none"/>
          <w:lang w:val="en-US" w:eastAsia="zh-CN"/>
        </w:rPr>
        <w:t>提供货品的设计技术专利、外形专利等均应符合我国有关法律法规及行业标准，凡因以上问题与第三方发生的任何纠纷，由</w:t>
      </w:r>
      <w:r>
        <w:rPr>
          <w:rFonts w:hint="eastAsia"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sz w:val="22"/>
          <w:szCs w:val="22"/>
          <w:highlight w:val="none"/>
          <w:lang w:val="en-US" w:eastAsia="zh-CN"/>
        </w:rPr>
        <w:t>承担全部责任，</w:t>
      </w:r>
      <w:r>
        <w:rPr>
          <w:rFonts w:hint="eastAsia"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sz w:val="22"/>
          <w:szCs w:val="22"/>
          <w:highlight w:val="none"/>
          <w:lang w:val="en-US" w:eastAsia="zh-Hans"/>
        </w:rPr>
        <w:t>还应</w:t>
      </w:r>
      <w:r>
        <w:rPr>
          <w:rFonts w:hint="eastAsia" w:ascii="仿宋" w:hAnsi="仿宋" w:eastAsia="仿宋" w:cs="仿宋"/>
          <w:color w:val="auto"/>
          <w:sz w:val="22"/>
          <w:szCs w:val="22"/>
          <w:highlight w:val="none"/>
        </w:rPr>
        <w:t>负责赔偿</w:t>
      </w:r>
      <w:r>
        <w:rPr>
          <w:rFonts w:hint="eastAsia" w:ascii="仿宋" w:hAnsi="仿宋" w:eastAsia="仿宋" w:cs="仿宋"/>
          <w:color w:val="auto"/>
          <w:sz w:val="22"/>
          <w:szCs w:val="22"/>
          <w:highlight w:val="none"/>
          <w:lang w:val="en-US" w:eastAsia="zh-CN"/>
        </w:rPr>
        <w:t>采购人</w:t>
      </w:r>
      <w:r>
        <w:rPr>
          <w:rFonts w:hint="eastAsia" w:ascii="仿宋" w:hAnsi="仿宋" w:eastAsia="仿宋" w:cs="仿宋"/>
          <w:color w:val="auto"/>
          <w:sz w:val="22"/>
          <w:szCs w:val="22"/>
          <w:highlight w:val="none"/>
        </w:rPr>
        <w:t>由此而遭受的全部损失。</w:t>
      </w:r>
    </w:p>
    <w:p w14:paraId="431A9EEB">
      <w:pPr>
        <w:ind w:firstLine="440" w:firstLineChars="200"/>
        <w:jc w:val="left"/>
        <w:textAlignment w:val="center"/>
        <w:rPr>
          <w:rFonts w:hint="eastAsia" w:ascii="仿宋" w:hAnsi="仿宋" w:eastAsia="仿宋" w:cs="仿宋"/>
          <w:color w:val="auto"/>
          <w:kern w:val="0"/>
          <w:sz w:val="22"/>
          <w:szCs w:val="22"/>
          <w:u w:val="none"/>
          <w:lang w:val="en-US" w:eastAsia="zh-CN" w:bidi="ar"/>
        </w:rPr>
      </w:pPr>
      <w:r>
        <w:rPr>
          <w:rFonts w:hint="eastAsia" w:ascii="仿宋" w:hAnsi="仿宋" w:eastAsia="仿宋" w:cs="仿宋"/>
          <w:color w:val="auto"/>
          <w:kern w:val="0"/>
          <w:sz w:val="22"/>
          <w:szCs w:val="22"/>
          <w:highlight w:val="none"/>
          <w:u w:val="none"/>
          <w:lang w:val="en-US" w:eastAsia="zh-CN" w:bidi="ar"/>
        </w:rPr>
        <w:t>（4）成交供应商保证其提供货品的安全可靠性。在正常使用下不应对使用者造成任何人身伤害，如因产品质量或标示不明确</w:t>
      </w:r>
      <w:r>
        <w:rPr>
          <w:rFonts w:hint="eastAsia" w:ascii="仿宋" w:hAnsi="仿宋" w:eastAsia="仿宋" w:cs="仿宋"/>
          <w:color w:val="auto"/>
          <w:kern w:val="0"/>
          <w:sz w:val="22"/>
          <w:szCs w:val="22"/>
          <w:u w:val="none"/>
          <w:lang w:val="en-US" w:eastAsia="zh-CN" w:bidi="ar"/>
        </w:rPr>
        <w:t>而对使用者造成损失的，由成交供应商承担相应责任；</w:t>
      </w:r>
    </w:p>
    <w:p w14:paraId="5826A418">
      <w:pPr>
        <w:ind w:firstLine="440" w:firstLineChars="200"/>
        <w:jc w:val="left"/>
        <w:textAlignment w:val="center"/>
        <w:rPr>
          <w:rFonts w:hint="eastAsia" w:ascii="仿宋" w:hAnsi="仿宋" w:eastAsia="仿宋" w:cs="仿宋"/>
          <w:color w:val="auto"/>
          <w:kern w:val="0"/>
          <w:sz w:val="22"/>
          <w:szCs w:val="22"/>
          <w:u w:val="none"/>
          <w:lang w:val="en-US" w:eastAsia="zh-CN" w:bidi="ar"/>
        </w:rPr>
      </w:pPr>
      <w:r>
        <w:rPr>
          <w:rFonts w:hint="eastAsia" w:ascii="仿宋" w:hAnsi="仿宋" w:eastAsia="仿宋" w:cs="仿宋"/>
          <w:color w:val="auto"/>
          <w:kern w:val="0"/>
          <w:sz w:val="22"/>
          <w:szCs w:val="22"/>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451A36C6">
      <w:pPr>
        <w:ind w:firstLine="440" w:firstLineChars="200"/>
        <w:jc w:val="left"/>
        <w:textAlignment w:val="center"/>
        <w:rPr>
          <w:rFonts w:hint="eastAsia" w:ascii="仿宋" w:hAnsi="仿宋" w:eastAsia="仿宋" w:cs="仿宋"/>
          <w:color w:val="auto"/>
          <w:kern w:val="0"/>
          <w:sz w:val="22"/>
          <w:szCs w:val="22"/>
          <w:u w:val="none"/>
          <w:lang w:val="en-US" w:eastAsia="zh-CN" w:bidi="ar"/>
        </w:rPr>
      </w:pPr>
      <w:r>
        <w:rPr>
          <w:rFonts w:hint="eastAsia" w:ascii="仿宋" w:hAnsi="仿宋" w:eastAsia="仿宋" w:cs="仿宋"/>
          <w:color w:val="auto"/>
          <w:kern w:val="0"/>
          <w:sz w:val="22"/>
          <w:szCs w:val="22"/>
          <w:u w:val="none"/>
          <w:lang w:val="en-US" w:eastAsia="zh-CN" w:bidi="ar"/>
        </w:rPr>
        <w:t>（6）成交供应商保证所供耗材有效期不低于1年，自通过最终验收之日起，确保采购人在使用耗材的过程中安全、有效。</w:t>
      </w:r>
    </w:p>
    <w:p w14:paraId="221C4354">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3A73A391">
      <w:pPr>
        <w:ind w:firstLine="440" w:firstLineChars="200"/>
        <w:jc w:val="left"/>
        <w:textAlignment w:val="center"/>
        <w:rPr>
          <w:rFonts w:hint="eastAsia" w:ascii="仿宋" w:hAnsi="仿宋" w:eastAsia="仿宋" w:cs="仿宋"/>
          <w:color w:val="auto"/>
          <w:kern w:val="0"/>
          <w:sz w:val="22"/>
          <w:szCs w:val="22"/>
          <w:u w:val="none"/>
          <w:lang w:val="en-US" w:eastAsia="zh-CN" w:bidi="ar"/>
        </w:rPr>
      </w:pPr>
      <w:r>
        <w:rPr>
          <w:rFonts w:hint="eastAsia" w:ascii="仿宋" w:hAnsi="仿宋" w:eastAsia="仿宋" w:cs="仿宋"/>
          <w:color w:val="auto"/>
          <w:kern w:val="0"/>
          <w:sz w:val="22"/>
          <w:szCs w:val="22"/>
          <w:u w:val="none"/>
          <w:lang w:val="en-US" w:eastAsia="zh-CN" w:bidi="ar"/>
        </w:rPr>
        <w:t>（1）按照《财政部关于进一步加强政府采购需求和履约验收管理的指导意见》（财库〔2016〕205号）的要求以及采购人竞选文件的质量要求和技术指标、成交供应商的响应文件及承诺（若有）、国家（行业）标准、</w:t>
      </w:r>
      <w:r>
        <w:rPr>
          <w:rFonts w:hint="eastAsia" w:ascii="仿宋" w:hAnsi="仿宋" w:eastAsia="仿宋" w:cs="仿宋"/>
          <w:color w:val="auto"/>
          <w:kern w:val="0"/>
          <w:sz w:val="22"/>
          <w:szCs w:val="22"/>
          <w:highlight w:val="none"/>
          <w:u w:val="none"/>
          <w:lang w:val="en-US" w:eastAsia="zh-CN" w:bidi="ar"/>
        </w:rPr>
        <w:t>本项目</w:t>
      </w:r>
      <w:r>
        <w:rPr>
          <w:rFonts w:hint="eastAsia" w:ascii="仿宋" w:hAnsi="仿宋" w:eastAsia="仿宋" w:cs="仿宋"/>
          <w:color w:val="auto"/>
          <w:kern w:val="0"/>
          <w:sz w:val="22"/>
          <w:szCs w:val="22"/>
          <w:u w:val="none"/>
          <w:lang w:val="en-US" w:eastAsia="zh-CN" w:bidi="ar"/>
        </w:rPr>
        <w:t>合同约定标准进行验收；</w:t>
      </w:r>
    </w:p>
    <w:p w14:paraId="010E1F1F">
      <w:pPr>
        <w:ind w:firstLine="440" w:firstLineChars="200"/>
        <w:jc w:val="left"/>
        <w:textAlignment w:val="center"/>
        <w:rPr>
          <w:rFonts w:hint="eastAsia" w:ascii="仿宋" w:hAnsi="仿宋" w:eastAsia="仿宋" w:cs="仿宋"/>
          <w:color w:val="auto"/>
          <w:kern w:val="0"/>
          <w:sz w:val="22"/>
          <w:szCs w:val="22"/>
          <w:u w:val="none"/>
          <w:lang w:val="en-US" w:eastAsia="zh-CN" w:bidi="ar"/>
        </w:rPr>
      </w:pPr>
      <w:r>
        <w:rPr>
          <w:rFonts w:hint="eastAsia" w:ascii="仿宋" w:hAnsi="仿宋" w:eastAsia="仿宋" w:cs="仿宋"/>
          <w:color w:val="auto"/>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680ABFA6">
      <w:pPr>
        <w:ind w:firstLine="440" w:firstLineChars="200"/>
        <w:jc w:val="left"/>
        <w:textAlignment w:val="center"/>
        <w:rPr>
          <w:rFonts w:hint="eastAsia" w:ascii="仿宋" w:hAnsi="仿宋" w:eastAsia="仿宋" w:cs="仿宋"/>
          <w:color w:val="auto"/>
          <w:kern w:val="0"/>
          <w:sz w:val="22"/>
          <w:szCs w:val="22"/>
          <w:u w:val="none"/>
          <w:lang w:val="en-US" w:eastAsia="zh-CN" w:bidi="ar"/>
        </w:rPr>
      </w:pPr>
      <w:r>
        <w:rPr>
          <w:rFonts w:hint="eastAsia" w:ascii="仿宋" w:hAnsi="仿宋" w:eastAsia="仿宋" w:cs="仿宋"/>
          <w:color w:val="auto"/>
          <w:kern w:val="0"/>
          <w:sz w:val="22"/>
          <w:szCs w:val="22"/>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638BFAFF">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rPr>
          <w:rFonts w:hint="default" w:ascii="仿宋" w:hAnsi="仿宋" w:eastAsia="仿宋" w:cs="仿宋"/>
          <w:color w:val="auto"/>
          <w:sz w:val="22"/>
          <w:szCs w:val="22"/>
          <w:highlight w:val="yellow"/>
          <w:lang w:val="en-US" w:eastAsia="zh-CN"/>
        </w:rPr>
      </w:pPr>
      <w:r>
        <w:rPr>
          <w:rFonts w:hint="eastAsia" w:ascii="仿宋" w:hAnsi="仿宋" w:eastAsia="仿宋" w:cs="仿宋"/>
          <w:color w:val="auto"/>
          <w:sz w:val="22"/>
          <w:szCs w:val="22"/>
          <w:highlight w:val="yellow"/>
          <w:lang w:val="en-US" w:eastAsia="zh-CN"/>
        </w:rPr>
        <w:t>（4）其他未尽事宜严格按照《财政部关于进一步加强政府采购需求和履约验收管理的指导意见》（财库〔2016〕205号）的要求进行。</w:t>
      </w:r>
    </w:p>
    <w:p w14:paraId="312EF257">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25EDAA1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w:t>
      </w:r>
      <w:r>
        <w:rPr>
          <w:rFonts w:hint="default" w:ascii="仿宋" w:hAnsi="仿宋" w:eastAsia="仿宋" w:cs="仿宋"/>
          <w:color w:val="000000"/>
          <w:kern w:val="0"/>
          <w:sz w:val="22"/>
          <w:szCs w:val="22"/>
          <w:u w:val="none"/>
          <w:lang w:val="en-US" w:eastAsia="zh-CN" w:bidi="ar"/>
        </w:rPr>
        <w:t>成交供应商</w:t>
      </w:r>
      <w:r>
        <w:rPr>
          <w:rFonts w:hint="eastAsia" w:ascii="仿宋" w:hAnsi="仿宋" w:eastAsia="仿宋" w:cs="仿宋"/>
          <w:color w:val="000000"/>
          <w:kern w:val="0"/>
          <w:sz w:val="22"/>
          <w:szCs w:val="22"/>
          <w:u w:val="none"/>
          <w:lang w:val="en-US" w:eastAsia="zh-CN" w:bidi="ar"/>
        </w:rPr>
        <w:t>必须严格按照竞选文件要求和响应文件中的承诺提供配送服务。如果配送的医用耗材规格、包装等信息与中标产品的规格、包装等信息不一致并不同意更换的，或配送的医用耗材和中标产品不一致的，采购人有权终止合同；</w:t>
      </w:r>
    </w:p>
    <w:p w14:paraId="55302AB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（2）要求</w:t>
      </w:r>
      <w:r>
        <w:rPr>
          <w:rFonts w:hint="default" w:ascii="仿宋" w:hAnsi="仿宋" w:eastAsia="仿宋" w:cs="仿宋"/>
          <w:color w:val="000000"/>
          <w:kern w:val="0"/>
          <w:sz w:val="22"/>
          <w:szCs w:val="22"/>
          <w:u w:val="none"/>
          <w:lang w:val="en-US" w:eastAsia="zh-CN" w:bidi="ar"/>
        </w:rPr>
        <w:t>成交供应商</w:t>
      </w:r>
      <w:r>
        <w:rPr>
          <w:rFonts w:hint="eastAsia" w:ascii="仿宋" w:hAnsi="仿宋" w:eastAsia="仿宋" w:cs="仿宋"/>
          <w:color w:val="000000"/>
          <w:kern w:val="0"/>
          <w:sz w:val="22"/>
          <w:szCs w:val="22"/>
          <w:u w:val="none"/>
          <w:lang w:val="en-US" w:eastAsia="zh-CN" w:bidi="ar"/>
        </w:rPr>
        <w:t>指派专人负责与采购人联系售后服务事宜；在响应文件中列明售后联系人及联系电话；</w:t>
      </w:r>
    </w:p>
    <w:p w14:paraId="3A52AE6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（3）要求</w:t>
      </w:r>
      <w:r>
        <w:rPr>
          <w:rFonts w:hint="default" w:ascii="仿宋" w:hAnsi="仿宋" w:eastAsia="仿宋" w:cs="仿宋"/>
          <w:color w:val="000000"/>
          <w:kern w:val="0"/>
          <w:sz w:val="22"/>
          <w:szCs w:val="22"/>
          <w:u w:val="none"/>
          <w:lang w:val="en-US" w:eastAsia="zh-CN" w:bidi="ar"/>
        </w:rPr>
        <w:t>成交供应商</w:t>
      </w:r>
      <w:r>
        <w:rPr>
          <w:rFonts w:hint="eastAsia" w:ascii="仿宋" w:hAnsi="仿宋" w:eastAsia="仿宋" w:cs="仿宋"/>
          <w:color w:val="000000"/>
          <w:kern w:val="0"/>
          <w:sz w:val="22"/>
          <w:szCs w:val="22"/>
          <w:u w:val="none"/>
          <w:lang w:val="en-US" w:eastAsia="zh-CN" w:bidi="ar"/>
        </w:rPr>
        <w:t>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1164C2A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（4）耗材临近失效期，采购人提前三个月向</w:t>
      </w:r>
      <w:r>
        <w:rPr>
          <w:rFonts w:hint="default" w:ascii="仿宋" w:hAnsi="仿宋" w:eastAsia="仿宋" w:cs="仿宋"/>
          <w:color w:val="000000"/>
          <w:kern w:val="0"/>
          <w:sz w:val="22"/>
          <w:szCs w:val="22"/>
          <w:u w:val="none"/>
          <w:lang w:val="en-US" w:eastAsia="zh-CN" w:bidi="ar"/>
        </w:rPr>
        <w:t>成交供应商</w:t>
      </w:r>
      <w:r>
        <w:rPr>
          <w:rFonts w:hint="eastAsia" w:ascii="仿宋" w:hAnsi="仿宋" w:eastAsia="仿宋" w:cs="仿宋"/>
          <w:color w:val="000000"/>
          <w:kern w:val="0"/>
          <w:sz w:val="22"/>
          <w:szCs w:val="22"/>
          <w:u w:val="none"/>
          <w:lang w:val="en-US" w:eastAsia="zh-CN" w:bidi="ar"/>
        </w:rPr>
        <w:t>提出更换，</w:t>
      </w:r>
      <w:r>
        <w:rPr>
          <w:rFonts w:hint="default" w:ascii="仿宋" w:hAnsi="仿宋" w:eastAsia="仿宋" w:cs="仿宋"/>
          <w:color w:val="000000"/>
          <w:kern w:val="0"/>
          <w:sz w:val="22"/>
          <w:szCs w:val="22"/>
          <w:u w:val="none"/>
          <w:lang w:val="en-US" w:eastAsia="zh-CN" w:bidi="ar"/>
        </w:rPr>
        <w:t>成交供应商</w:t>
      </w:r>
      <w:r>
        <w:rPr>
          <w:rFonts w:hint="eastAsia" w:ascii="仿宋" w:hAnsi="仿宋" w:eastAsia="仿宋" w:cs="仿宋"/>
          <w:color w:val="000000"/>
          <w:kern w:val="0"/>
          <w:sz w:val="22"/>
          <w:szCs w:val="22"/>
          <w:u w:val="none"/>
          <w:lang w:val="en-US" w:eastAsia="zh-CN" w:bidi="ar"/>
        </w:rPr>
        <w:t>须在耗材失效前一个月更换完毕，不得以任何理由进行推诿；</w:t>
      </w:r>
    </w:p>
    <w:p w14:paraId="5A94E67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w:t>
      </w:r>
      <w:r>
        <w:rPr>
          <w:rFonts w:hint="default" w:ascii="仿宋" w:hAnsi="仿宋" w:eastAsia="仿宋" w:cs="仿宋"/>
          <w:color w:val="000000"/>
          <w:kern w:val="0"/>
          <w:sz w:val="22"/>
          <w:szCs w:val="22"/>
          <w:u w:val="none"/>
          <w:lang w:val="en-US" w:eastAsia="zh-CN" w:bidi="ar"/>
        </w:rPr>
        <w:t>成交供应商</w:t>
      </w:r>
      <w:r>
        <w:rPr>
          <w:rFonts w:hint="eastAsia" w:ascii="仿宋" w:hAnsi="仿宋" w:eastAsia="仿宋" w:cs="仿宋"/>
          <w:color w:val="000000"/>
          <w:kern w:val="0"/>
          <w:sz w:val="22"/>
          <w:szCs w:val="22"/>
          <w:u w:val="none"/>
          <w:lang w:val="en-US" w:eastAsia="zh-CN" w:bidi="ar"/>
        </w:rPr>
        <w:t>必须随货提供其具备医疗器械经营企业的有关合法有效的手续（包括但不限于）：</w:t>
      </w:r>
    </w:p>
    <w:p w14:paraId="4DB0A6D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1）产品所涉及逐级授权经销商的医疗器械生产（经营）许可证或生产（经营）企业备案表；</w:t>
      </w:r>
    </w:p>
    <w:p w14:paraId="5707DE9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2）医疗器械产品注册证或备案凭证；</w:t>
      </w:r>
    </w:p>
    <w:p w14:paraId="113A82C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3）医疗器械生产企业许可证；</w:t>
      </w:r>
    </w:p>
    <w:p w14:paraId="0EEEA54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4）经销商获得的委托授权书（逐级）；</w:t>
      </w:r>
    </w:p>
    <w:p w14:paraId="73AE157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5）产品所涉及逐级授权经销商的企业法人营业执照；</w:t>
      </w:r>
    </w:p>
    <w:p w14:paraId="1EC08ACC">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000000"/>
          <w:kern w:val="0"/>
          <w:sz w:val="22"/>
          <w:szCs w:val="22"/>
          <w:u w:val="none"/>
          <w:lang w:val="en-US" w:eastAsia="zh-CN" w:bidi="ar"/>
        </w:rPr>
        <w:t>6）采购人要求提供</w:t>
      </w:r>
      <w:r>
        <w:rPr>
          <w:rFonts w:hint="eastAsia" w:ascii="仿宋" w:hAnsi="仿宋" w:eastAsia="仿宋" w:cs="仿宋"/>
          <w:color w:val="auto"/>
          <w:kern w:val="0"/>
          <w:sz w:val="22"/>
          <w:szCs w:val="22"/>
          <w:highlight w:val="none"/>
          <w:u w:val="none"/>
          <w:lang w:val="en-US" w:eastAsia="zh-CN" w:bidi="ar"/>
        </w:rPr>
        <w:t>的相关资料。</w:t>
      </w:r>
    </w:p>
    <w:p w14:paraId="41601D1F">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、采购人双方商议后，若因</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或厂家原因无法按上述要求执行的，则采购人可以解除与成交供应商在成交合同中对该产品的采购相关约定。</w:t>
      </w:r>
    </w:p>
    <w:p w14:paraId="5A32E7D0">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178FF46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70E7D81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（2）竞选人应当按照约定的方式交付标的物。对于包装方式没有约定或者约定不明确的，应当按照通用的方式包装；没有通用方式的，应当采取足以保护标的物且有利于节约资源，保护生态环境的包装方式； </w:t>
      </w:r>
    </w:p>
    <w:p w14:paraId="0E85EF5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（3）本次采购的标的物需要运输，竞选人在合同约定的时间内将标的物运输至合同约定地点。</w:t>
      </w:r>
    </w:p>
    <w:p w14:paraId="0CCE2B5E">
      <w:pPr>
        <w:pStyle w:val="5"/>
        <w:jc w:val="left"/>
        <w:outlineLvl w:val="1"/>
        <w:rPr>
          <w:rFonts w:hint="eastAsia" w:ascii="仿宋" w:hAnsi="仿宋" w:eastAsia="仿宋" w:cs="仿宋"/>
        </w:rPr>
      </w:pPr>
      <w:r>
        <w:rPr>
          <w:rFonts w:hint="eastAsia" w:ascii="仿宋" w:hAnsi="仿宋" w:eastAsia="仿宋" w:cs="仿宋"/>
          <w:b/>
          <w:sz w:val="28"/>
        </w:rPr>
        <w:t>3.4.其他要求</w:t>
      </w:r>
    </w:p>
    <w:p w14:paraId="47F7455B">
      <w:pPr>
        <w:pStyle w:val="5"/>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69D31240">
      <w:pPr>
        <w:pStyle w:val="5"/>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78325703">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（1）</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逾期15日内不能提供采购人所需医用耗材的，应向采购人每日支付该批次货款千分之三的违约金。</w:t>
      </w:r>
    </w:p>
    <w:p w14:paraId="1E5201FC">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（2）</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逾期15日及以上不能交付以上产品的，视同不能供货，须向采购人支付该批次货款的10%的违约金，同时采购人可以单方面解除本合同。</w:t>
      </w:r>
    </w:p>
    <w:p w14:paraId="6B59A110">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（3）若因</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原因造成采购人被监管部门通报三次及以上的或者造成采购人违规采购，采购人有权单方面解除本合同。同时</w:t>
      </w:r>
      <w:r>
        <w:rPr>
          <w:rFonts w:hint="default" w:ascii="仿宋" w:hAnsi="仿宋" w:eastAsia="仿宋" w:cs="仿宋"/>
          <w:color w:val="auto"/>
          <w:kern w:val="0"/>
          <w:sz w:val="22"/>
          <w:szCs w:val="22"/>
          <w:highlight w:val="none"/>
          <w:u w:val="none"/>
          <w:lang w:val="en-US" w:eastAsia="zh-CN" w:bidi="ar"/>
        </w:rPr>
        <w:t>，</w:t>
      </w:r>
      <w:r>
        <w:rPr>
          <w:rFonts w:hint="eastAsia" w:ascii="仿宋" w:hAnsi="仿宋" w:eastAsia="仿宋" w:cs="仿宋"/>
          <w:color w:val="auto"/>
          <w:kern w:val="0"/>
          <w:sz w:val="22"/>
          <w:szCs w:val="22"/>
          <w:highlight w:val="none"/>
          <w:u w:val="none"/>
          <w:lang w:val="en-US" w:eastAsia="zh-CN" w:bidi="ar"/>
        </w:rPr>
        <w:t>采购人有权要求</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支付该批货物价款20%的违约金。</w:t>
      </w:r>
    </w:p>
    <w:p w14:paraId="54AFDEA4">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（4）</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销售的产品若发生严重医疗不良事件或被国家法定检测机构检测为不合格产品，视为</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违约导致不能实现本合同目的，采购人有权单方面解除本合同，并要求</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限期收回不合格产品，并要求</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需承担合同价款20%的违约金，违约金不足以弥补采购人损失的，</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还应当承补足。</w:t>
      </w:r>
    </w:p>
    <w:p w14:paraId="50AE2380">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即使产品已经验收入库（或安装调试完毕）后，采购人才发现产品为不合格产品的，也视为</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违约，</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应当承担本条约定的责任。同时采购人有权退回库存产品。</w:t>
      </w:r>
    </w:p>
    <w:p w14:paraId="069085D7">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（5）若根据法律规定或本协议约定产生采购人退、换货或拒绝收货情形，由</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承担退换货产生的各项税、费或其他支出。</w:t>
      </w:r>
    </w:p>
    <w:p w14:paraId="02F07E82">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（6）</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不能保证及时供货，除应当向采购人承担违约责任外，采购人仍有权单方面解除本合同。</w:t>
      </w:r>
    </w:p>
    <w:p w14:paraId="49B613A0">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（7）因</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提供的产品不合格造成采购人或第三人人身损害或财产损失的，由</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承担赔偿责任。</w:t>
      </w:r>
    </w:p>
    <w:p w14:paraId="430BEA2D">
      <w:pPr>
        <w:ind w:firstLine="440" w:firstLineChars="200"/>
        <w:jc w:val="left"/>
        <w:textAlignment w:val="center"/>
        <w:rPr>
          <w:rFonts w:hint="eastAsia" w:ascii="仿宋" w:hAnsi="仿宋" w:eastAsia="仿宋" w:cs="仿宋"/>
          <w:color w:val="auto"/>
          <w:kern w:val="0"/>
          <w:sz w:val="22"/>
          <w:szCs w:val="22"/>
          <w:highlight w:val="none"/>
          <w:u w:val="none"/>
          <w:lang w:val="en-US" w:eastAsia="zh-CN" w:bidi="ar"/>
        </w:rPr>
      </w:pPr>
      <w:r>
        <w:rPr>
          <w:rFonts w:hint="eastAsia" w:ascii="仿宋" w:hAnsi="仿宋" w:eastAsia="仿宋" w:cs="仿宋"/>
          <w:color w:val="auto"/>
          <w:kern w:val="0"/>
          <w:sz w:val="22"/>
          <w:szCs w:val="22"/>
          <w:highlight w:val="none"/>
          <w:u w:val="none"/>
          <w:lang w:val="en-US" w:eastAsia="zh-CN" w:bidi="ar"/>
        </w:rPr>
        <w:t>（8）若因</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原因造成采购人挂网执行存在问题以及线上支付不及时、造成采购人未挂网采购的或者存在其他问题的，</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应承担违约责任，且采购人有权要求</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auto"/>
          <w:kern w:val="0"/>
          <w:sz w:val="22"/>
          <w:szCs w:val="22"/>
          <w:highlight w:val="none"/>
          <w:u w:val="none"/>
          <w:lang w:val="en-US" w:eastAsia="zh-CN" w:bidi="ar"/>
        </w:rPr>
        <w:t>支付该批货物价款20%的违约金，采购人有权单方面解除合同。</w:t>
      </w:r>
    </w:p>
    <w:p w14:paraId="0C2F4D43">
      <w:pPr>
        <w:pStyle w:val="5"/>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693503B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（1）因货物的质量问题发生的争议，由法定质量鉴定机构或其认可的质量鉴定机构进行质量鉴定。货物符合标准的，鉴定费由采购人承担；货物不符合质量标准的，鉴定费由</w:t>
      </w:r>
      <w:r>
        <w:rPr>
          <w:rFonts w:hint="default" w:ascii="仿宋" w:hAnsi="仿宋" w:eastAsia="仿宋" w:cs="仿宋"/>
          <w:color w:val="auto"/>
          <w:kern w:val="0"/>
          <w:sz w:val="22"/>
          <w:szCs w:val="22"/>
          <w:highlight w:val="none"/>
          <w:u w:val="none"/>
          <w:lang w:val="en-US" w:eastAsia="zh-CN" w:bidi="ar"/>
        </w:rPr>
        <w:t>成交供应商</w:t>
      </w:r>
      <w:r>
        <w:rPr>
          <w:rFonts w:hint="eastAsia" w:ascii="仿宋" w:hAnsi="仿宋" w:eastAsia="仿宋" w:cs="仿宋"/>
          <w:color w:val="000000"/>
          <w:kern w:val="0"/>
          <w:sz w:val="22"/>
          <w:szCs w:val="22"/>
          <w:u w:val="none"/>
          <w:lang w:val="en-US" w:eastAsia="zh-CN" w:bidi="ar"/>
        </w:rPr>
        <w:t>承担。</w:t>
      </w:r>
    </w:p>
    <w:p w14:paraId="7661FC19">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（2）合同履行期间，若双方发生争议，可协商或由有关部门调解解决，协商或调解不成的，可向</w:t>
      </w:r>
      <w:r>
        <w:rPr>
          <w:rFonts w:hint="eastAsia" w:ascii="仿宋" w:hAnsi="仿宋" w:eastAsia="仿宋" w:cs="仿宋"/>
          <w:color w:val="auto"/>
          <w:kern w:val="0"/>
          <w:sz w:val="22"/>
          <w:szCs w:val="22"/>
          <w:highlight w:val="none"/>
          <w:u w:val="none"/>
          <w:lang w:val="en-US" w:eastAsia="zh-CN" w:bidi="ar"/>
        </w:rPr>
        <w:t>采购人</w:t>
      </w:r>
      <w:r>
        <w:rPr>
          <w:rFonts w:hint="eastAsia" w:ascii="仿宋" w:hAnsi="仿宋" w:eastAsia="仿宋" w:cs="仿宋"/>
          <w:color w:val="000000"/>
          <w:kern w:val="0"/>
          <w:sz w:val="22"/>
          <w:szCs w:val="22"/>
          <w:u w:val="none"/>
          <w:lang w:val="en-US" w:eastAsia="zh-CN" w:bidi="ar"/>
        </w:rPr>
        <w:t>所在地人民法院依法提起诉讼。</w:t>
      </w:r>
    </w:p>
    <w:p w14:paraId="68275E0C">
      <w:pPr>
        <w:pStyle w:val="5"/>
        <w:ind w:firstLine="480"/>
        <w:jc w:val="left"/>
        <w:rPr>
          <w:rFonts w:hint="eastAsia" w:ascii="Times New Roman" w:hAnsi="Times New Roman" w:eastAsia="仿宋" w:cs="Times New Roman"/>
          <w:color w:val="auto"/>
          <w:sz w:val="24"/>
          <w:szCs w:val="24"/>
          <w:highlight w:val="yellow"/>
          <w:shd w:val="clear" w:color="auto" w:fill="auto"/>
          <w:lang w:val="en-US" w:eastAsia="zh-CN"/>
        </w:rPr>
      </w:pPr>
      <w:r>
        <w:rPr>
          <w:rFonts w:hint="eastAsia" w:ascii="仿宋" w:hAnsi="仿宋" w:eastAsia="仿宋" w:cs="仿宋"/>
          <w:b/>
          <w:bCs/>
          <w:sz w:val="24"/>
          <w:szCs w:val="24"/>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Times New Roman" w:hAnsi="Times New Roman" w:eastAsia="仿宋" w:cs="Times New Roman"/>
          <w:b/>
          <w:bCs/>
          <w:color w:val="auto"/>
          <w:sz w:val="24"/>
          <w:szCs w:val="24"/>
          <w:highlight w:val="none"/>
          <w:shd w:val="clear" w:color="auto" w:fill="auto"/>
          <w:lang w:val="en-US" w:eastAsia="zh-CN"/>
        </w:rPr>
        <w:t>1</w:t>
      </w:r>
      <w:r>
        <w:rPr>
          <w:rFonts w:hint="eastAsia" w:ascii="Times New Roman" w:hAnsi="Times New Roman" w:eastAsia="仿宋" w:cs="Times New Roman"/>
          <w:b/>
          <w:bCs/>
          <w:color w:val="auto"/>
          <w:sz w:val="24"/>
          <w:szCs w:val="24"/>
          <w:highlight w:val="none"/>
          <w:shd w:val="clear" w:color="auto" w:fill="auto"/>
          <w:lang w:eastAsia="zh-CN"/>
        </w:rPr>
        <w:t>年</w:t>
      </w:r>
      <w:r>
        <w:rPr>
          <w:rFonts w:hint="eastAsia" w:ascii="仿宋" w:hAnsi="仿宋" w:eastAsia="仿宋" w:cs="仿宋"/>
          <w:color w:val="000000"/>
          <w:kern w:val="0"/>
          <w:sz w:val="22"/>
          <w:szCs w:val="22"/>
          <w:highlight w:val="none"/>
          <w:u w:val="none"/>
          <w:lang w:val="en-US" w:eastAsia="zh-CN" w:bidi="ar"/>
        </w:rPr>
        <w:t>；</w:t>
      </w:r>
    </w:p>
    <w:p w14:paraId="5FE7BEF5">
      <w:pPr>
        <w:pStyle w:val="5"/>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3.支付方式：</w:t>
      </w:r>
      <w:r>
        <w:rPr>
          <w:rFonts w:hint="eastAsia" w:ascii="仿宋" w:hAnsi="仿宋" w:eastAsia="仿宋" w:cs="仿宋"/>
          <w:color w:val="000000"/>
          <w:kern w:val="0"/>
          <w:sz w:val="22"/>
          <w:szCs w:val="22"/>
          <w:u w:val="none"/>
          <w:lang w:val="en-US" w:eastAsia="zh-CN" w:bidi="ar"/>
        </w:rPr>
        <w:t>双方协商确定。</w:t>
      </w:r>
    </w:p>
    <w:p w14:paraId="07A626FD">
      <w:pPr>
        <w:pStyle w:val="5"/>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2"/>
          <w:szCs w:val="22"/>
          <w:u w:val="none"/>
          <w:lang w:val="en-US" w:eastAsia="zh-CN" w:bidi="ar"/>
        </w:rPr>
        <w:t>分批次验收。</w:t>
      </w:r>
    </w:p>
    <w:p w14:paraId="1A80A106">
      <w:pPr>
        <w:pStyle w:val="5"/>
        <w:ind w:firstLine="480"/>
        <w:jc w:val="left"/>
      </w:pPr>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877B56"/>
    <w:rsid w:val="74877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2025-04-08T08:08:00Z</dcterms:created>
  <dc:creator>LC</dc:creator>
  <cp:lastModifiedBy>LC</cp:lastModifiedBy>
  <dcterms:modified xsi:type="dcterms:W3CDTF">2025-04-08T08:09:06Z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11A8E4A81E5C459F8BBBEA788B089B22_11</vt:lpwstr>
  </property>
  <property fmtid="{D5CDD505-2E9C-101B-9397-08002B2CF9AE}" pid="4" name="KSOTemplateDocerSaveRecord">
    <vt:lpwstr>eyJoZGlkIjoiNjY1NjlkNDNmNWRkNmU3Mjc1YTY2ZTYwZGZjMDRlYTkiLCJ1c2VySWQiOiIyNTk3MzYwMTgifQ==</vt:lpwstr>
  </property>
</Properties>
</file>