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8"/>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0850A5A1">
      <w:pPr>
        <w:pStyle w:val="8"/>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48B5B3D">
      <w:pPr>
        <w:pStyle w:val="8"/>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6EEB938">
      <w:pPr>
        <w:pStyle w:val="8"/>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tbl>
      <w:tblPr>
        <w:tblStyle w:val="5"/>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26"/>
        <w:gridCol w:w="2040"/>
        <w:gridCol w:w="1383"/>
        <w:gridCol w:w="1384"/>
        <w:gridCol w:w="1384"/>
        <w:gridCol w:w="1384"/>
      </w:tblGrid>
      <w:tr w14:paraId="62A78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35" w:type="pct"/>
            <w:vAlign w:val="center"/>
          </w:tcPr>
          <w:p w14:paraId="02BB9C39">
            <w:pPr>
              <w:pStyle w:val="8"/>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10" w:type="pct"/>
            <w:vAlign w:val="center"/>
          </w:tcPr>
          <w:p w14:paraId="66E3CC6A">
            <w:pPr>
              <w:pStyle w:val="8"/>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198" w:type="pct"/>
            <w:vAlign w:val="center"/>
          </w:tcPr>
          <w:p w14:paraId="77075FDB">
            <w:pPr>
              <w:pStyle w:val="8"/>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813" w:type="pct"/>
            <w:vAlign w:val="center"/>
          </w:tcPr>
          <w:p w14:paraId="1A7F1A8D">
            <w:pPr>
              <w:pStyle w:val="8"/>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813" w:type="pct"/>
            <w:vAlign w:val="center"/>
          </w:tcPr>
          <w:p w14:paraId="4C869DBD">
            <w:pPr>
              <w:pStyle w:val="8"/>
              <w:jc w:val="center"/>
              <w:rPr>
                <w:rFonts w:hint="eastAsia" w:ascii="仿宋" w:hAnsi="仿宋" w:eastAsia="仿宋" w:cs="仿宋"/>
                <w:lang w:val="en-US" w:eastAsia="zh-CN"/>
              </w:rPr>
            </w:pPr>
            <w:r>
              <w:rPr>
                <w:rFonts w:hint="eastAsia" w:ascii="仿宋" w:hAnsi="仿宋" w:eastAsia="仿宋" w:cs="仿宋"/>
                <w:b w:val="0"/>
                <w:bCs w:val="0"/>
                <w:sz w:val="20"/>
                <w:szCs w:val="20"/>
                <w:lang w:val="en-US" w:eastAsia="zh-CN"/>
              </w:rPr>
              <w:t>预计数量</w:t>
            </w:r>
          </w:p>
        </w:tc>
        <w:tc>
          <w:tcPr>
            <w:tcW w:w="813" w:type="pct"/>
            <w:vAlign w:val="center"/>
          </w:tcPr>
          <w:p w14:paraId="41D7021C">
            <w:pPr>
              <w:pStyle w:val="8"/>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813" w:type="pct"/>
            <w:vAlign w:val="center"/>
          </w:tcPr>
          <w:p w14:paraId="725678FE">
            <w:pPr>
              <w:pStyle w:val="8"/>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0C26B3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5" w:type="pct"/>
            <w:vMerge w:val="restart"/>
            <w:vAlign w:val="center"/>
          </w:tcPr>
          <w:p w14:paraId="7D3C3679">
            <w:pPr>
              <w:pStyle w:val="8"/>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10" w:type="pct"/>
            <w:vAlign w:val="center"/>
          </w:tcPr>
          <w:p w14:paraId="71CA85A7">
            <w:pPr>
              <w:pStyle w:val="8"/>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1656" w:type="dxa"/>
            <w:vAlign w:val="center"/>
          </w:tcPr>
          <w:p w14:paraId="1179C66D">
            <w:pPr>
              <w:pStyle w:val="8"/>
              <w:ind w:firstLine="480" w:firstLineChars="0"/>
              <w:jc w:val="both"/>
              <w:rPr>
                <w:rFonts w:hint="eastAsia" w:ascii="仿宋" w:hAnsi="仿宋" w:eastAsia="仿宋" w:cs="仿宋"/>
                <w:sz w:val="22"/>
                <w:szCs w:val="28"/>
                <w:lang w:val="en-US" w:eastAsia="zh-CN"/>
              </w:rPr>
            </w:pPr>
            <w:r>
              <w:rPr>
                <w:rFonts w:hint="eastAsia" w:ascii="仿宋" w:hAnsi="仿宋" w:eastAsia="仿宋" w:cs="仿宋"/>
                <w:lang w:val="en-US" w:eastAsia="zh-CN"/>
              </w:rPr>
              <w:t>鼻氧管</w:t>
            </w:r>
          </w:p>
        </w:tc>
        <w:tc>
          <w:tcPr>
            <w:tcW w:w="1656" w:type="dxa"/>
            <w:vAlign w:val="center"/>
          </w:tcPr>
          <w:p w14:paraId="0552ED06">
            <w:pPr>
              <w:pStyle w:val="8"/>
              <w:ind w:firstLine="480" w:firstLineChars="0"/>
              <w:jc w:val="both"/>
              <w:rPr>
                <w:rFonts w:hint="default" w:ascii="仿宋" w:hAnsi="仿宋" w:eastAsia="仿宋" w:cs="仿宋"/>
                <w:sz w:val="22"/>
                <w:szCs w:val="28"/>
                <w:lang w:val="en-US" w:eastAsia="zh-CN"/>
              </w:rPr>
            </w:pPr>
            <w:r>
              <w:rPr>
                <w:rFonts w:hint="eastAsia" w:ascii="仿宋" w:hAnsi="仿宋" w:eastAsia="仿宋" w:cs="仿宋"/>
                <w:lang w:val="en-US" w:eastAsia="zh-CN"/>
              </w:rPr>
              <w:t>180</w:t>
            </w:r>
          </w:p>
        </w:tc>
        <w:tc>
          <w:tcPr>
            <w:tcW w:w="1656" w:type="dxa"/>
            <w:vAlign w:val="center"/>
          </w:tcPr>
          <w:p w14:paraId="6E424DE8">
            <w:pPr>
              <w:pStyle w:val="8"/>
              <w:ind w:firstLine="480" w:firstLineChars="0"/>
              <w:jc w:val="both"/>
              <w:rPr>
                <w:rFonts w:hint="eastAsia" w:ascii="仿宋" w:hAnsi="仿宋" w:eastAsia="仿宋" w:cs="仿宋"/>
                <w:sz w:val="22"/>
                <w:szCs w:val="28"/>
                <w:lang w:val="en-US" w:eastAsia="zh-CN"/>
              </w:rPr>
            </w:pPr>
            <w:r>
              <w:rPr>
                <w:rFonts w:hint="eastAsia" w:ascii="仿宋" w:hAnsi="仿宋" w:eastAsia="仿宋" w:cs="仿宋"/>
                <w:lang w:val="en-US" w:eastAsia="zh-CN"/>
              </w:rPr>
              <w:t>200</w:t>
            </w:r>
          </w:p>
        </w:tc>
        <w:tc>
          <w:tcPr>
            <w:tcW w:w="1061" w:type="dxa"/>
            <w:vAlign w:val="center"/>
          </w:tcPr>
          <w:p w14:paraId="2ACAD879">
            <w:pPr>
              <w:pStyle w:val="8"/>
              <w:jc w:val="center"/>
              <w:rPr>
                <w:rFonts w:hint="eastAsia" w:ascii="仿宋" w:hAnsi="仿宋" w:eastAsia="仿宋" w:cs="仿宋"/>
                <w:sz w:val="24"/>
                <w:szCs w:val="24"/>
                <w:highlight w:val="yellow"/>
                <w:lang w:val="en-US" w:eastAsia="zh-CN"/>
              </w:rPr>
            </w:pPr>
            <w:r>
              <w:rPr>
                <w:rFonts w:hint="eastAsia" w:ascii="仿宋" w:hAnsi="仿宋" w:eastAsia="仿宋" w:cs="仿宋"/>
                <w:lang w:val="en-US" w:eastAsia="zh-CN"/>
              </w:rPr>
              <w:t>套</w:t>
            </w:r>
          </w:p>
        </w:tc>
        <w:tc>
          <w:tcPr>
            <w:tcW w:w="1656" w:type="dxa"/>
            <w:vAlign w:val="center"/>
          </w:tcPr>
          <w:p w14:paraId="614CF1EB">
            <w:pPr>
              <w:pStyle w:val="8"/>
              <w:jc w:val="center"/>
              <w:rPr>
                <w:rFonts w:hint="eastAsia" w:ascii="仿宋" w:hAnsi="仿宋" w:eastAsia="仿宋" w:cs="仿宋"/>
                <w:sz w:val="22"/>
                <w:szCs w:val="28"/>
                <w:lang w:val="en-US" w:eastAsia="zh-CN"/>
              </w:rPr>
            </w:pPr>
            <w:r>
              <w:rPr>
                <w:rFonts w:hint="eastAsia" w:ascii="仿宋" w:hAnsi="仿宋" w:eastAsia="仿宋" w:cs="仿宋"/>
                <w:lang w:val="en-US" w:eastAsia="zh-CN"/>
              </w:rPr>
              <w:t>36000</w:t>
            </w:r>
          </w:p>
        </w:tc>
      </w:tr>
      <w:tr w14:paraId="2A2E1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5" w:type="pct"/>
            <w:vMerge w:val="continue"/>
            <w:vAlign w:val="center"/>
          </w:tcPr>
          <w:p w14:paraId="660EF03F">
            <w:pPr>
              <w:pStyle w:val="8"/>
              <w:jc w:val="center"/>
              <w:rPr>
                <w:rFonts w:hint="eastAsia" w:ascii="仿宋" w:hAnsi="仿宋" w:eastAsia="仿宋" w:cs="仿宋"/>
                <w:sz w:val="21"/>
                <w:szCs w:val="21"/>
                <w:lang w:val="en-US" w:eastAsia="zh-CN"/>
              </w:rPr>
            </w:pPr>
          </w:p>
        </w:tc>
        <w:tc>
          <w:tcPr>
            <w:tcW w:w="310" w:type="pct"/>
            <w:vAlign w:val="center"/>
          </w:tcPr>
          <w:p w14:paraId="6318F5F9">
            <w:pPr>
              <w:pStyle w:val="8"/>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1656" w:type="dxa"/>
            <w:vAlign w:val="center"/>
          </w:tcPr>
          <w:p w14:paraId="5C5F0D19">
            <w:pPr>
              <w:pStyle w:val="8"/>
              <w:ind w:firstLine="480" w:firstLineChars="0"/>
              <w:jc w:val="both"/>
              <w:rPr>
                <w:rFonts w:hint="eastAsia" w:ascii="仿宋" w:hAnsi="仿宋" w:eastAsia="仿宋" w:cs="仿宋"/>
                <w:sz w:val="22"/>
                <w:szCs w:val="28"/>
                <w:lang w:val="en-US" w:eastAsia="zh-CN"/>
              </w:rPr>
            </w:pPr>
            <w:r>
              <w:rPr>
                <w:rFonts w:hint="eastAsia" w:ascii="仿宋" w:hAnsi="仿宋" w:eastAsia="仿宋" w:cs="仿宋"/>
                <w:lang w:val="en-US" w:eastAsia="zh-CN"/>
              </w:rPr>
              <w:t>输氧管</w:t>
            </w:r>
          </w:p>
        </w:tc>
        <w:tc>
          <w:tcPr>
            <w:tcW w:w="1656" w:type="dxa"/>
            <w:vAlign w:val="center"/>
          </w:tcPr>
          <w:p w14:paraId="6822E04F">
            <w:pPr>
              <w:pStyle w:val="8"/>
              <w:ind w:firstLine="480" w:firstLineChars="0"/>
              <w:jc w:val="both"/>
              <w:rPr>
                <w:rFonts w:hint="default" w:ascii="仿宋" w:hAnsi="仿宋" w:eastAsia="仿宋" w:cs="仿宋"/>
                <w:sz w:val="22"/>
                <w:szCs w:val="28"/>
                <w:lang w:val="en-US" w:eastAsia="zh-CN"/>
              </w:rPr>
            </w:pPr>
            <w:r>
              <w:rPr>
                <w:rFonts w:hint="eastAsia" w:ascii="仿宋" w:hAnsi="仿宋" w:eastAsia="仿宋" w:cs="仿宋"/>
                <w:lang w:val="en-US" w:eastAsia="zh-CN"/>
              </w:rPr>
              <w:t>300</w:t>
            </w:r>
          </w:p>
        </w:tc>
        <w:tc>
          <w:tcPr>
            <w:tcW w:w="1656" w:type="dxa"/>
            <w:vAlign w:val="center"/>
          </w:tcPr>
          <w:p w14:paraId="1BD097C4">
            <w:pPr>
              <w:pStyle w:val="8"/>
              <w:ind w:firstLine="480" w:firstLineChars="0"/>
              <w:jc w:val="both"/>
              <w:rPr>
                <w:rFonts w:hint="eastAsia" w:ascii="仿宋" w:hAnsi="仿宋" w:eastAsia="仿宋" w:cs="仿宋"/>
                <w:sz w:val="22"/>
                <w:szCs w:val="28"/>
                <w:lang w:val="en-US" w:eastAsia="zh-CN"/>
              </w:rPr>
            </w:pPr>
            <w:r>
              <w:rPr>
                <w:rFonts w:hint="eastAsia" w:ascii="仿宋" w:hAnsi="仿宋" w:eastAsia="仿宋" w:cs="仿宋"/>
                <w:lang w:val="en-US" w:eastAsia="zh-CN"/>
              </w:rPr>
              <w:t>200</w:t>
            </w:r>
          </w:p>
        </w:tc>
        <w:tc>
          <w:tcPr>
            <w:tcW w:w="1061" w:type="dxa"/>
            <w:vAlign w:val="center"/>
          </w:tcPr>
          <w:p w14:paraId="2AD172D6">
            <w:pPr>
              <w:pStyle w:val="8"/>
              <w:jc w:val="center"/>
              <w:rPr>
                <w:rFonts w:hint="eastAsia" w:ascii="仿宋" w:hAnsi="仿宋" w:eastAsia="仿宋" w:cs="仿宋"/>
                <w:sz w:val="24"/>
                <w:szCs w:val="24"/>
                <w:highlight w:val="yellow"/>
                <w:lang w:val="en-US" w:eastAsia="zh-CN"/>
              </w:rPr>
            </w:pPr>
            <w:r>
              <w:rPr>
                <w:rFonts w:hint="eastAsia" w:ascii="仿宋" w:hAnsi="仿宋" w:eastAsia="仿宋" w:cs="仿宋"/>
                <w:lang w:val="en-US" w:eastAsia="zh-CN"/>
              </w:rPr>
              <w:t>套</w:t>
            </w:r>
          </w:p>
        </w:tc>
        <w:tc>
          <w:tcPr>
            <w:tcW w:w="1656" w:type="dxa"/>
            <w:vAlign w:val="center"/>
          </w:tcPr>
          <w:p w14:paraId="0C9237EE">
            <w:pPr>
              <w:pStyle w:val="8"/>
              <w:jc w:val="center"/>
              <w:rPr>
                <w:rFonts w:hint="eastAsia" w:ascii="仿宋" w:hAnsi="仿宋" w:eastAsia="仿宋" w:cs="仿宋"/>
                <w:sz w:val="22"/>
                <w:szCs w:val="28"/>
                <w:lang w:val="en-US" w:eastAsia="zh-CN"/>
              </w:rPr>
            </w:pPr>
            <w:r>
              <w:rPr>
                <w:rFonts w:hint="eastAsia" w:ascii="仿宋" w:hAnsi="仿宋" w:eastAsia="仿宋" w:cs="仿宋"/>
                <w:lang w:val="en-US" w:eastAsia="zh-CN"/>
              </w:rPr>
              <w:t>60000</w:t>
            </w:r>
          </w:p>
        </w:tc>
      </w:tr>
    </w:tbl>
    <w:p w14:paraId="3DD8721E">
      <w:pPr>
        <w:pStyle w:val="8"/>
        <w:ind w:firstLine="480"/>
        <w:jc w:val="left"/>
        <w:rPr>
          <w:rFonts w:hint="eastAsia" w:ascii="仿宋" w:hAnsi="仿宋" w:eastAsia="仿宋" w:cs="仿宋"/>
        </w:rPr>
      </w:pPr>
    </w:p>
    <w:p w14:paraId="179EBDA3">
      <w:pPr>
        <w:pStyle w:val="8"/>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0ED2689D">
      <w:pPr>
        <w:pStyle w:val="8"/>
        <w:jc w:val="left"/>
        <w:rPr>
          <w:rFonts w:hint="eastAsia" w:ascii="仿宋" w:hAnsi="仿宋" w:eastAsia="仿宋" w:cs="仿宋"/>
        </w:rPr>
      </w:pPr>
    </w:p>
    <w:p w14:paraId="4FC78A64">
      <w:pPr>
        <w:pStyle w:val="8"/>
        <w:jc w:val="left"/>
        <w:outlineLvl w:val="1"/>
        <w:rPr>
          <w:rFonts w:hint="eastAsia" w:ascii="仿宋" w:hAnsi="仿宋" w:eastAsia="仿宋" w:cs="仿宋"/>
          <w:lang w:eastAsia="zh-CN"/>
        </w:rPr>
      </w:pPr>
      <w:r>
        <w:rPr>
          <w:rFonts w:hint="eastAsia" w:ascii="仿宋" w:hAnsi="仿宋" w:eastAsia="仿宋" w:cs="仿宋"/>
          <w:b/>
          <w:sz w:val="28"/>
        </w:rPr>
        <w:t>3.2.技术要求</w:t>
      </w:r>
    </w:p>
    <w:p w14:paraId="7196B1CD">
      <w:pPr>
        <w:pStyle w:val="8"/>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07"/>
        <w:gridCol w:w="837"/>
        <w:gridCol w:w="1617"/>
        <w:gridCol w:w="2148"/>
        <w:gridCol w:w="1524"/>
        <w:gridCol w:w="1320"/>
        <w:gridCol w:w="669"/>
      </w:tblGrid>
      <w:tr w14:paraId="537A8D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407" w:type="dxa"/>
            <w:vAlign w:val="center"/>
          </w:tcPr>
          <w:p w14:paraId="1BE2BA99">
            <w:pPr>
              <w:pStyle w:val="8"/>
              <w:jc w:val="center"/>
              <w:rPr>
                <w:rFonts w:hint="eastAsia" w:ascii="仿宋" w:hAnsi="仿宋" w:eastAsia="仿宋" w:cs="仿宋"/>
              </w:rPr>
            </w:pPr>
            <w:r>
              <w:rPr>
                <w:rFonts w:hint="eastAsia" w:ascii="仿宋" w:hAnsi="仿宋" w:eastAsia="仿宋" w:cs="仿宋"/>
              </w:rPr>
              <w:t>序号</w:t>
            </w:r>
          </w:p>
        </w:tc>
        <w:tc>
          <w:tcPr>
            <w:tcW w:w="837" w:type="dxa"/>
            <w:vAlign w:val="center"/>
          </w:tcPr>
          <w:p w14:paraId="1A24C9C7">
            <w:pPr>
              <w:spacing w:line="400" w:lineRule="exact"/>
              <w:jc w:val="center"/>
              <w:rPr>
                <w:rFonts w:hint="eastAsia" w:ascii="仿宋" w:hAnsi="仿宋" w:eastAsia="仿宋" w:cs="仿宋"/>
              </w:rPr>
            </w:pPr>
            <w:r>
              <w:rPr>
                <w:rFonts w:hint="eastAsia" w:ascii="仿宋" w:hAnsi="仿宋" w:eastAsia="仿宋" w:cs="仿宋"/>
                <w:kern w:val="0"/>
                <w:sz w:val="20"/>
                <w:szCs w:val="20"/>
              </w:rPr>
              <w:t>名称</w:t>
            </w:r>
          </w:p>
        </w:tc>
        <w:tc>
          <w:tcPr>
            <w:tcW w:w="1617" w:type="dxa"/>
            <w:vAlign w:val="center"/>
          </w:tcPr>
          <w:p w14:paraId="6424B517">
            <w:pPr>
              <w:spacing w:line="400" w:lineRule="exact"/>
              <w:jc w:val="center"/>
              <w:rPr>
                <w:rFonts w:hint="default" w:ascii="仿宋" w:hAnsi="仿宋" w:eastAsia="仿宋" w:cs="仿宋"/>
                <w:kern w:val="0"/>
                <w:sz w:val="20"/>
                <w:szCs w:val="20"/>
              </w:rPr>
            </w:pPr>
            <w:r>
              <w:rPr>
                <w:rFonts w:hint="default" w:ascii="仿宋" w:hAnsi="仿宋" w:eastAsia="仿宋" w:cs="仿宋"/>
                <w:kern w:val="0"/>
                <w:sz w:val="20"/>
                <w:szCs w:val="20"/>
              </w:rPr>
              <w:t>★医保耗材代码</w:t>
            </w:r>
          </w:p>
        </w:tc>
        <w:tc>
          <w:tcPr>
            <w:tcW w:w="2148" w:type="dxa"/>
            <w:vAlign w:val="center"/>
          </w:tcPr>
          <w:p w14:paraId="0BD2EDF5">
            <w:pPr>
              <w:spacing w:line="400" w:lineRule="exact"/>
              <w:jc w:val="center"/>
              <w:rPr>
                <w:rFonts w:hint="default" w:ascii="仿宋" w:hAnsi="仿宋" w:eastAsia="仿宋" w:cs="仿宋"/>
                <w:kern w:val="0"/>
                <w:sz w:val="20"/>
                <w:szCs w:val="20"/>
              </w:rPr>
            </w:pPr>
            <w:r>
              <w:rPr>
                <w:rFonts w:hint="default" w:ascii="仿宋" w:hAnsi="仿宋" w:eastAsia="仿宋" w:cs="仿宋"/>
                <w:kern w:val="0"/>
                <w:sz w:val="20"/>
                <w:szCs w:val="20"/>
              </w:rPr>
              <w:t>★</w:t>
            </w:r>
            <w:r>
              <w:rPr>
                <w:rFonts w:hint="default" w:ascii="仿宋" w:hAnsi="仿宋" w:eastAsia="仿宋" w:cs="仿宋"/>
                <w:b w:val="0"/>
                <w:bCs w:val="0"/>
                <w:kern w:val="0"/>
                <w:sz w:val="20"/>
                <w:szCs w:val="20"/>
                <w:shd w:val="clear"/>
                <w:lang w:val="en-US" w:eastAsia="zh-CN"/>
              </w:rPr>
              <w:t>适应症/用途</w:t>
            </w:r>
          </w:p>
        </w:tc>
        <w:tc>
          <w:tcPr>
            <w:tcW w:w="1524" w:type="dxa"/>
            <w:vAlign w:val="center"/>
          </w:tcPr>
          <w:p w14:paraId="1ACC51BA">
            <w:pPr>
              <w:spacing w:line="400" w:lineRule="exact"/>
              <w:jc w:val="center"/>
              <w:rPr>
                <w:rFonts w:hint="eastAsia" w:ascii="仿宋" w:hAnsi="仿宋" w:eastAsia="仿宋" w:cs="仿宋"/>
                <w:lang w:val="en-US" w:eastAsia="zh-CN"/>
              </w:rPr>
            </w:pPr>
            <w:r>
              <w:rPr>
                <w:rFonts w:hint="default" w:ascii="仿宋" w:hAnsi="仿宋" w:eastAsia="仿宋" w:cs="仿宋"/>
                <w:kern w:val="0"/>
                <w:sz w:val="20"/>
                <w:szCs w:val="20"/>
                <w:lang w:val="en-US" w:eastAsia="zh-CN"/>
              </w:rPr>
              <w:t>★适配机型</w:t>
            </w:r>
          </w:p>
        </w:tc>
        <w:tc>
          <w:tcPr>
            <w:tcW w:w="1320" w:type="dxa"/>
            <w:vAlign w:val="center"/>
          </w:tcPr>
          <w:p w14:paraId="538F4848">
            <w:pPr>
              <w:spacing w:line="400" w:lineRule="exact"/>
              <w:jc w:val="center"/>
              <w:rPr>
                <w:rFonts w:hint="eastAsia" w:ascii="仿宋" w:hAnsi="仿宋" w:eastAsia="仿宋" w:cs="仿宋"/>
                <w:lang w:val="en-US" w:eastAsia="zh-CN"/>
              </w:rPr>
            </w:pPr>
            <w:r>
              <w:rPr>
                <w:rFonts w:hint="eastAsia" w:ascii="仿宋" w:hAnsi="仿宋" w:eastAsia="仿宋" w:cs="仿宋"/>
                <w:kern w:val="0"/>
                <w:sz w:val="20"/>
                <w:szCs w:val="20"/>
              </w:rPr>
              <w:t>参考型号</w:t>
            </w:r>
            <w:r>
              <w:rPr>
                <w:rFonts w:hint="eastAsia" w:ascii="仿宋" w:hAnsi="仿宋" w:eastAsia="仿宋" w:cs="仿宋"/>
                <w:kern w:val="0"/>
                <w:sz w:val="20"/>
                <w:szCs w:val="20"/>
                <w:lang w:val="en-US" w:eastAsia="zh-CN"/>
              </w:rPr>
              <w:t>/规格</w:t>
            </w:r>
          </w:p>
        </w:tc>
        <w:tc>
          <w:tcPr>
            <w:tcW w:w="669" w:type="dxa"/>
            <w:vAlign w:val="center"/>
          </w:tcPr>
          <w:p w14:paraId="67ED2B90">
            <w:pPr>
              <w:spacing w:line="400" w:lineRule="exact"/>
              <w:jc w:val="center"/>
              <w:rPr>
                <w:rFonts w:hint="eastAsia" w:ascii="仿宋" w:hAnsi="仿宋" w:eastAsia="仿宋" w:cs="仿宋"/>
                <w:highlight w:val="yellow"/>
                <w:lang w:val="en-US" w:eastAsia="zh-CN"/>
              </w:rPr>
            </w:pPr>
            <w:r>
              <w:rPr>
                <w:rFonts w:hint="eastAsia" w:ascii="仿宋" w:hAnsi="仿宋" w:eastAsia="仿宋" w:cs="仿宋"/>
                <w:kern w:val="0"/>
                <w:sz w:val="20"/>
                <w:szCs w:val="20"/>
              </w:rPr>
              <w:t>★</w:t>
            </w:r>
            <w:r>
              <w:rPr>
                <w:rFonts w:hint="default" w:ascii="仿宋" w:hAnsi="仿宋" w:eastAsia="仿宋" w:cs="仿宋"/>
                <w:kern w:val="0"/>
                <w:sz w:val="20"/>
                <w:szCs w:val="20"/>
                <w:lang w:val="en-US" w:eastAsia="zh-CN"/>
              </w:rPr>
              <w:t>是否提供样品</w:t>
            </w:r>
          </w:p>
        </w:tc>
      </w:tr>
      <w:tr w14:paraId="22FF7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407" w:type="dxa"/>
            <w:vAlign w:val="center"/>
          </w:tcPr>
          <w:p w14:paraId="32ADA145">
            <w:pPr>
              <w:pStyle w:val="8"/>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837" w:type="dxa"/>
            <w:vAlign w:val="center"/>
          </w:tcPr>
          <w:p w14:paraId="010336EB">
            <w:pPr>
              <w:spacing w:line="400" w:lineRule="exact"/>
              <w:jc w:val="center"/>
              <w:rPr>
                <w:rFonts w:hint="default" w:ascii="仿宋" w:hAnsi="仿宋" w:eastAsia="仿宋" w:cs="仿宋"/>
                <w:sz w:val="22"/>
                <w:szCs w:val="28"/>
                <w:lang w:val="en-US"/>
              </w:rPr>
            </w:pPr>
            <w:r>
              <w:rPr>
                <w:rFonts w:hint="eastAsia" w:ascii="仿宋" w:hAnsi="仿宋" w:eastAsia="仿宋" w:cs="仿宋"/>
                <w:kern w:val="0"/>
                <w:szCs w:val="21"/>
                <w:lang w:val="en-US" w:eastAsia="zh-CN"/>
              </w:rPr>
              <w:t>鼻氧管</w:t>
            </w:r>
          </w:p>
        </w:tc>
        <w:tc>
          <w:tcPr>
            <w:tcW w:w="1617" w:type="dxa"/>
            <w:vAlign w:val="center"/>
          </w:tcPr>
          <w:p w14:paraId="063E9B98">
            <w:pPr>
              <w:spacing w:line="400" w:lineRule="exact"/>
              <w:jc w:val="center"/>
              <w:rPr>
                <w:rFonts w:hint="eastAsia" w:ascii="仿宋" w:hAnsi="仿宋" w:eastAsia="仿宋" w:cs="仿宋"/>
                <w:sz w:val="22"/>
                <w:szCs w:val="28"/>
              </w:rPr>
            </w:pPr>
            <w:r>
              <w:rPr>
                <w:rFonts w:hint="eastAsia" w:ascii="仿宋" w:hAnsi="仿宋" w:eastAsia="仿宋" w:cs="仿宋"/>
                <w:kern w:val="0"/>
                <w:szCs w:val="21"/>
                <w:lang w:val="en-US" w:eastAsia="zh-CN"/>
              </w:rPr>
              <w:t>C140202266</w:t>
            </w:r>
          </w:p>
        </w:tc>
        <w:tc>
          <w:tcPr>
            <w:tcW w:w="2148" w:type="dxa"/>
            <w:vAlign w:val="center"/>
          </w:tcPr>
          <w:p w14:paraId="54A8B61D">
            <w:pPr>
              <w:spacing w:line="400" w:lineRule="exact"/>
              <w:jc w:val="center"/>
              <w:rPr>
                <w:rFonts w:hint="eastAsia" w:ascii="仿宋" w:hAnsi="仿宋" w:eastAsia="仿宋" w:cs="仿宋"/>
                <w:sz w:val="22"/>
                <w:szCs w:val="28"/>
              </w:rPr>
            </w:pPr>
            <w:r>
              <w:rPr>
                <w:rFonts w:hint="eastAsia" w:ascii="仿宋" w:hAnsi="仿宋" w:eastAsia="仿宋" w:cs="仿宋"/>
                <w:kern w:val="0"/>
                <w:szCs w:val="21"/>
                <w:lang w:val="en-US" w:eastAsia="zh-CN"/>
              </w:rPr>
              <w:t>临床上用于患者吸入氧气时佩戴于口鼻处，输入氧气到人体上呼吸道</w:t>
            </w:r>
          </w:p>
        </w:tc>
        <w:tc>
          <w:tcPr>
            <w:tcW w:w="1524" w:type="dxa"/>
            <w:vAlign w:val="center"/>
          </w:tcPr>
          <w:p w14:paraId="774E1026">
            <w:pPr>
              <w:jc w:val="center"/>
              <w:rPr>
                <w:rFonts w:hint="default" w:ascii="仿宋" w:hAnsi="仿宋" w:eastAsia="仿宋" w:cs="仿宋"/>
                <w:sz w:val="22"/>
                <w:szCs w:val="28"/>
                <w:lang w:val="en-US" w:eastAsia="zh-CN"/>
              </w:rPr>
            </w:pPr>
            <w:r>
              <w:rPr>
                <w:rFonts w:hint="default" w:ascii="仿宋" w:hAnsi="仿宋" w:eastAsia="仿宋" w:cs="仿宋"/>
                <w:kern w:val="0"/>
                <w:szCs w:val="21"/>
                <w:lang w:val="en-US" w:eastAsia="zh-CN"/>
              </w:rPr>
              <w:t>品牌：鲸科；机器名称：高流量呼吸湿化治疗仪</w:t>
            </w:r>
          </w:p>
        </w:tc>
        <w:tc>
          <w:tcPr>
            <w:tcW w:w="1320" w:type="dxa"/>
            <w:vAlign w:val="center"/>
          </w:tcPr>
          <w:p w14:paraId="0C65B7BD">
            <w:pPr>
              <w:jc w:val="center"/>
              <w:rPr>
                <w:rFonts w:hint="eastAsia" w:ascii="仿宋" w:hAnsi="仿宋" w:eastAsia="仿宋" w:cs="仿宋"/>
                <w:sz w:val="24"/>
                <w:szCs w:val="24"/>
                <w:highlight w:val="yellow"/>
                <w:lang w:val="en-US" w:eastAsia="zh-CN"/>
              </w:rPr>
            </w:pPr>
            <w:r>
              <w:rPr>
                <w:rFonts w:hint="eastAsia" w:ascii="仿宋" w:hAnsi="仿宋" w:eastAsia="仿宋" w:cs="仿宋"/>
                <w:kern w:val="0"/>
                <w:szCs w:val="21"/>
                <w:lang w:val="en-US" w:eastAsia="zh-CN"/>
              </w:rPr>
              <w:t>185mm*100mm等各型号</w:t>
            </w:r>
          </w:p>
        </w:tc>
        <w:tc>
          <w:tcPr>
            <w:tcW w:w="669" w:type="dxa"/>
            <w:vAlign w:val="center"/>
          </w:tcPr>
          <w:p w14:paraId="5171A5ED">
            <w:pPr>
              <w:widowControl/>
              <w:jc w:val="center"/>
              <w:rPr>
                <w:rFonts w:ascii="仿宋" w:hAnsi="仿宋" w:eastAsia="仿宋" w:cs="仿宋"/>
                <w:kern w:val="0"/>
                <w:szCs w:val="21"/>
              </w:rPr>
            </w:pPr>
          </w:p>
          <w:p w14:paraId="798B67F1">
            <w:pPr>
              <w:widowControl/>
              <w:jc w:val="center"/>
              <w:rPr>
                <w:rFonts w:ascii="仿宋" w:hAnsi="仿宋" w:eastAsia="仿宋" w:cs="仿宋"/>
                <w:kern w:val="0"/>
                <w:szCs w:val="21"/>
              </w:rPr>
            </w:pPr>
          </w:p>
          <w:p w14:paraId="7863B1BD">
            <w:pPr>
              <w:widowControl/>
              <w:jc w:val="center"/>
              <w:rPr>
                <w:rFonts w:ascii="仿宋" w:hAnsi="仿宋" w:eastAsia="仿宋" w:cs="仿宋"/>
                <w:kern w:val="0"/>
                <w:szCs w:val="21"/>
              </w:rPr>
            </w:pPr>
            <w:r>
              <w:rPr>
                <w:rFonts w:ascii="仿宋" w:hAnsi="仿宋" w:eastAsia="仿宋" w:cs="仿宋"/>
                <w:kern w:val="0"/>
                <w:szCs w:val="21"/>
              </w:rPr>
              <w:t>是</w:t>
            </w:r>
          </w:p>
          <w:p w14:paraId="35B14BEA">
            <w:pPr>
              <w:widowControl/>
              <w:jc w:val="center"/>
              <w:rPr>
                <w:rFonts w:ascii="仿宋" w:hAnsi="仿宋" w:eastAsia="仿宋" w:cs="仿宋"/>
                <w:kern w:val="0"/>
                <w:szCs w:val="21"/>
              </w:rPr>
            </w:pPr>
          </w:p>
          <w:p w14:paraId="558FDD13">
            <w:pPr>
              <w:ind w:left="132"/>
              <w:jc w:val="center"/>
              <w:rPr>
                <w:rFonts w:ascii="仿宋" w:hAnsi="仿宋" w:eastAsia="仿宋" w:cs="仿宋"/>
                <w:szCs w:val="21"/>
              </w:rPr>
            </w:pPr>
          </w:p>
          <w:p w14:paraId="19A86483">
            <w:pPr>
              <w:spacing w:line="400" w:lineRule="exact"/>
              <w:jc w:val="center"/>
              <w:rPr>
                <w:rFonts w:hint="default" w:ascii="仿宋" w:hAnsi="仿宋" w:eastAsia="仿宋" w:cs="仿宋"/>
                <w:sz w:val="22"/>
                <w:szCs w:val="28"/>
                <w:highlight w:val="yellow"/>
                <w:lang w:val="en-US" w:eastAsia="zh-CN"/>
              </w:rPr>
            </w:pPr>
          </w:p>
        </w:tc>
      </w:tr>
      <w:tr w14:paraId="1F644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407" w:type="dxa"/>
            <w:vAlign w:val="center"/>
          </w:tcPr>
          <w:p w14:paraId="063CC981">
            <w:pPr>
              <w:pStyle w:val="8"/>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37" w:type="dxa"/>
            <w:vAlign w:val="center"/>
          </w:tcPr>
          <w:p w14:paraId="2A2FB28C">
            <w:pPr>
              <w:spacing w:line="400" w:lineRule="exact"/>
              <w:jc w:val="center"/>
              <w:rPr>
                <w:rFonts w:hint="default" w:ascii="仿宋" w:hAnsi="仿宋" w:eastAsia="仿宋" w:cs="仿宋"/>
                <w:sz w:val="22"/>
                <w:szCs w:val="28"/>
                <w:lang w:val="en-US" w:eastAsia="zh-CN"/>
              </w:rPr>
            </w:pPr>
            <w:r>
              <w:rPr>
                <w:rFonts w:hint="eastAsia" w:ascii="仿宋" w:hAnsi="仿宋" w:eastAsia="仿宋" w:cs="仿宋"/>
                <w:color w:val="000000"/>
                <w:kern w:val="0"/>
                <w:szCs w:val="21"/>
                <w:lang w:val="en-US" w:eastAsia="zh-CN" w:bidi="ar"/>
              </w:rPr>
              <w:t>输氧管</w:t>
            </w:r>
          </w:p>
        </w:tc>
        <w:tc>
          <w:tcPr>
            <w:tcW w:w="1617" w:type="dxa"/>
            <w:vAlign w:val="center"/>
          </w:tcPr>
          <w:p w14:paraId="0FF056C1">
            <w:pPr>
              <w:spacing w:line="400" w:lineRule="exact"/>
              <w:jc w:val="center"/>
              <w:rPr>
                <w:rFonts w:hint="eastAsia" w:ascii="仿宋" w:hAnsi="仿宋" w:eastAsia="仿宋" w:cs="仿宋"/>
                <w:sz w:val="22"/>
                <w:szCs w:val="28"/>
                <w:lang w:val="en-US" w:eastAsia="zh-CN"/>
              </w:rPr>
            </w:pPr>
            <w:r>
              <w:rPr>
                <w:rFonts w:hint="eastAsia" w:ascii="仿宋" w:hAnsi="仿宋" w:eastAsia="仿宋" w:cs="仿宋"/>
                <w:szCs w:val="21"/>
                <w:lang w:val="en-US" w:eastAsia="zh-CN"/>
              </w:rPr>
              <w:t>C140202266</w:t>
            </w:r>
          </w:p>
        </w:tc>
        <w:tc>
          <w:tcPr>
            <w:tcW w:w="2148" w:type="dxa"/>
            <w:vAlign w:val="center"/>
          </w:tcPr>
          <w:p w14:paraId="0CFA2B15">
            <w:pPr>
              <w:spacing w:line="400" w:lineRule="exact"/>
              <w:jc w:val="center"/>
              <w:rPr>
                <w:rFonts w:hint="eastAsia" w:ascii="仿宋" w:hAnsi="仿宋" w:eastAsia="仿宋" w:cs="仿宋"/>
                <w:sz w:val="22"/>
                <w:szCs w:val="28"/>
                <w:lang w:val="en-US" w:eastAsia="zh-CN"/>
              </w:rPr>
            </w:pPr>
            <w:r>
              <w:rPr>
                <w:rFonts w:hint="eastAsia" w:ascii="仿宋" w:hAnsi="仿宋" w:eastAsia="仿宋" w:cs="仿宋"/>
                <w:szCs w:val="21"/>
                <w:lang w:val="en-US" w:eastAsia="zh-CN"/>
              </w:rPr>
              <w:t>用于治疗各种呼吸系统疾病</w:t>
            </w:r>
          </w:p>
        </w:tc>
        <w:tc>
          <w:tcPr>
            <w:tcW w:w="1524" w:type="dxa"/>
            <w:vAlign w:val="center"/>
          </w:tcPr>
          <w:p w14:paraId="1FFA5B61">
            <w:pPr>
              <w:jc w:val="center"/>
              <w:rPr>
                <w:rFonts w:hint="default" w:ascii="仿宋" w:hAnsi="仿宋" w:eastAsia="仿宋" w:cs="仿宋"/>
                <w:sz w:val="22"/>
                <w:szCs w:val="28"/>
                <w:lang w:val="en-US" w:eastAsia="zh-CN"/>
              </w:rPr>
            </w:pPr>
            <w:r>
              <w:rPr>
                <w:rFonts w:hint="eastAsia" w:ascii="仿宋" w:hAnsi="仿宋" w:eastAsia="仿宋" w:cs="仿宋"/>
                <w:szCs w:val="21"/>
                <w:lang w:val="en-US" w:eastAsia="zh-CN"/>
              </w:rPr>
              <w:t>品</w:t>
            </w:r>
            <w:r>
              <w:rPr>
                <w:rFonts w:hint="default" w:ascii="仿宋" w:hAnsi="仿宋" w:eastAsia="仿宋" w:cs="仿宋"/>
                <w:szCs w:val="21"/>
                <w:lang w:val="en-US" w:eastAsia="zh-CN"/>
              </w:rPr>
              <w:t>牌：鲸科；机器名称：高流量呼吸湿化治疗仪</w:t>
            </w:r>
          </w:p>
        </w:tc>
        <w:tc>
          <w:tcPr>
            <w:tcW w:w="1320" w:type="dxa"/>
            <w:vAlign w:val="center"/>
          </w:tcPr>
          <w:p w14:paraId="5B254E50">
            <w:pPr>
              <w:jc w:val="center"/>
              <w:rPr>
                <w:rFonts w:hint="eastAsia" w:ascii="仿宋" w:hAnsi="仿宋" w:eastAsia="仿宋" w:cs="仿宋"/>
                <w:sz w:val="24"/>
                <w:szCs w:val="24"/>
                <w:highlight w:val="yellow"/>
                <w:lang w:val="en-US" w:eastAsia="zh-CN"/>
              </w:rPr>
            </w:pPr>
            <w:r>
              <w:rPr>
                <w:rFonts w:hint="eastAsia" w:ascii="仿宋" w:hAnsi="仿宋" w:eastAsia="仿宋" w:cs="仿宋"/>
                <w:szCs w:val="21"/>
                <w:lang w:val="en-US" w:eastAsia="zh-CN"/>
              </w:rPr>
              <w:t>须能与本项目鼻氧管配合使用</w:t>
            </w:r>
          </w:p>
        </w:tc>
        <w:tc>
          <w:tcPr>
            <w:tcW w:w="669" w:type="dxa"/>
            <w:vAlign w:val="center"/>
          </w:tcPr>
          <w:p w14:paraId="1CAB0A35">
            <w:pPr>
              <w:spacing w:line="400" w:lineRule="exact"/>
              <w:jc w:val="center"/>
              <w:rPr>
                <w:rFonts w:hint="default" w:ascii="仿宋" w:hAnsi="仿宋" w:eastAsia="仿宋" w:cs="仿宋"/>
                <w:sz w:val="22"/>
                <w:szCs w:val="28"/>
                <w:highlight w:val="yellow"/>
                <w:lang w:val="en-US" w:eastAsia="zh-CN"/>
              </w:rPr>
            </w:pPr>
            <w:r>
              <w:rPr>
                <w:rFonts w:ascii="仿宋" w:hAnsi="仿宋" w:eastAsia="仿宋" w:cs="仿宋"/>
                <w:kern w:val="0"/>
                <w:szCs w:val="21"/>
              </w:rPr>
              <w:t>是</w:t>
            </w:r>
          </w:p>
        </w:tc>
      </w:tr>
    </w:tbl>
    <w:p w14:paraId="1B42D282">
      <w:pPr>
        <w:pStyle w:val="8"/>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3AD0B06E">
      <w:pPr>
        <w:pStyle w:val="8"/>
        <w:jc w:val="left"/>
        <w:outlineLvl w:val="9"/>
        <w:rPr>
          <w:rFonts w:hint="eastAsia" w:ascii="仿宋" w:hAnsi="仿宋" w:eastAsia="仿宋" w:cs="仿宋"/>
          <w:b/>
          <w:sz w:val="28"/>
        </w:rPr>
      </w:pPr>
    </w:p>
    <w:p w14:paraId="4FF9362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0D33946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一、★样品要求</w:t>
      </w:r>
    </w:p>
    <w:p w14:paraId="2ADBEDCB">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1.必须提供样品，以供评审专家现场评审。</w:t>
      </w:r>
    </w:p>
    <w:p w14:paraId="7987C9BC">
      <w:pPr>
        <w:ind w:firstLine="440" w:firstLineChars="200"/>
        <w:jc w:val="left"/>
        <w:textAlignment w:val="center"/>
        <w:rPr>
          <w:rFonts w:hint="eastAsia" w:ascii="仿宋" w:hAnsi="仿宋" w:eastAsia="仿宋" w:cs="仿宋"/>
          <w:b w:val="0"/>
          <w:bCs w:val="0"/>
          <w:color w:val="000000"/>
          <w:kern w:val="0"/>
          <w:sz w:val="22"/>
          <w:szCs w:val="22"/>
          <w:highlight w:val="yellow"/>
          <w:u w:val="none"/>
          <w:lang w:val="en-US" w:eastAsia="zh-CN" w:bidi="ar"/>
        </w:rPr>
      </w:pPr>
      <w:r>
        <w:rPr>
          <w:rFonts w:hint="eastAsia" w:ascii="仿宋" w:hAnsi="仿宋" w:eastAsia="仿宋" w:cs="仿宋"/>
          <w:b w:val="0"/>
          <w:bCs w:val="0"/>
          <w:color w:val="000000"/>
          <w:kern w:val="0"/>
          <w:sz w:val="22"/>
          <w:szCs w:val="22"/>
          <w:highlight w:val="yellow"/>
          <w:u w:val="none"/>
          <w:lang w:val="en-US" w:eastAsia="zh-CN" w:bidi="ar"/>
        </w:rPr>
        <w:t>2.提交的样品不符合实际需求或存在原理错误则视为无效响应。</w:t>
      </w:r>
    </w:p>
    <w:p w14:paraId="46372ADB">
      <w:pPr>
        <w:ind w:firstLine="440" w:firstLineChars="200"/>
        <w:jc w:val="left"/>
        <w:textAlignment w:val="center"/>
        <w:rPr>
          <w:rFonts w:hint="eastAsia" w:ascii="仿宋" w:hAnsi="仿宋" w:eastAsia="仿宋" w:cs="仿宋"/>
          <w:b w:val="0"/>
          <w:bCs w:val="0"/>
          <w:color w:val="000000"/>
          <w:kern w:val="0"/>
          <w:sz w:val="22"/>
          <w:szCs w:val="22"/>
          <w:highlight w:val="yellow"/>
          <w:u w:val="none"/>
          <w:lang w:val="en-US" w:eastAsia="zh-CN" w:bidi="ar"/>
        </w:rPr>
      </w:pPr>
      <w:r>
        <w:rPr>
          <w:rFonts w:hint="eastAsia" w:ascii="仿宋" w:hAnsi="仿宋" w:eastAsia="仿宋" w:cs="仿宋"/>
          <w:b w:val="0"/>
          <w:bCs w:val="0"/>
          <w:color w:val="000000"/>
          <w:kern w:val="0"/>
          <w:sz w:val="22"/>
          <w:szCs w:val="22"/>
          <w:highlight w:val="yellow"/>
          <w:u w:val="none"/>
          <w:lang w:val="en-US" w:eastAsia="zh-CN" w:bidi="ar"/>
        </w:rPr>
        <w:t>3.本项目投标人提供的样品，应与该投标人响应文件保持一致（具体参考《医疗器械说明书和标签管理规定》）。</w:t>
      </w:r>
    </w:p>
    <w:p w14:paraId="3A4E9872">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7F45BA1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bCs/>
          <w:color w:val="000000"/>
          <w:sz w:val="24"/>
          <w:szCs w:val="24"/>
          <w:lang w:val="en-US" w:eastAsia="zh-CN"/>
        </w:rPr>
      </w:pPr>
      <w:r>
        <w:rPr>
          <w:rFonts w:hint="eastAsia" w:ascii="仿宋" w:hAnsi="仿宋" w:eastAsia="仿宋" w:cs="仿宋"/>
          <w:b/>
          <w:sz w:val="28"/>
          <w:lang w:val="en-US" w:eastAsia="zh-CN"/>
        </w:rPr>
        <w:t>二、★商务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607D1453">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1653436D">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（1）交货期：每次配送时间必须严格按照采购人配送通知执行，中标人应于收到通知后2小时内响应。急救耗材的配送时间不应超过4小时，一般耗材原则上的配送时间不应超过2个工作日；</w:t>
      </w:r>
    </w:p>
    <w:p w14:paraId="206CCF3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3E9C35DE">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48225D6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32465811">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60825350">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3AC0F654">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（1）中标人须提供原厂生产的未曾使用过的、全新的合格的货品（含配套配件等），表面无划伤、无破损痕迹，且权属清楚，不得侵害他人的合法权利。</w:t>
      </w:r>
    </w:p>
    <w:p w14:paraId="650B8C0D">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（2）中标人所提供货品须符合或优于国家（行业）标准、本项目竞选文件要求及响应文件响应内容。</w:t>
      </w:r>
      <w:r>
        <w:rPr>
          <w:rFonts w:hint="eastAsia" w:ascii="仿宋" w:hAnsi="仿宋" w:eastAsia="仿宋" w:cs="仿宋"/>
          <w:b w:val="0"/>
          <w:bCs w:val="0"/>
          <w:color w:val="000000"/>
          <w:kern w:val="0"/>
          <w:sz w:val="22"/>
          <w:szCs w:val="22"/>
          <w:highlight w:val="none"/>
          <w:u w:val="none"/>
          <w:lang w:val="en-US" w:eastAsia="zh-CN" w:bidi="ar"/>
        </w:rPr>
        <w:t>当响应文件响应内容与竞选文件要求不一致时，以响应文件响应内容为准。当响应</w:t>
      </w:r>
      <w:r>
        <w:rPr>
          <w:rFonts w:hint="eastAsia" w:ascii="仿宋" w:hAnsi="仿宋" w:eastAsia="仿宋" w:cs="仿宋"/>
          <w:b w:val="0"/>
          <w:bCs w:val="0"/>
          <w:color w:val="000000"/>
          <w:kern w:val="0"/>
          <w:sz w:val="22"/>
          <w:szCs w:val="22"/>
          <w:u w:val="none"/>
          <w:lang w:val="en-US" w:eastAsia="zh-CN" w:bidi="ar"/>
        </w:rPr>
        <w:t>文件响应内容与国家标准、行业标准（若有）不一致时，以较高标准为准。</w:t>
      </w:r>
    </w:p>
    <w:p w14:paraId="3E221E95">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b w:val="0"/>
          <w:bCs w:val="0"/>
          <w:color w:val="000000"/>
          <w:kern w:val="0"/>
          <w:sz w:val="22"/>
          <w:szCs w:val="22"/>
          <w:u w:val="none"/>
          <w:lang w:val="en-US" w:eastAsia="zh-Hans" w:bidi="ar"/>
        </w:rPr>
        <w:t>中标人还应</w:t>
      </w:r>
      <w:r>
        <w:rPr>
          <w:rFonts w:hint="eastAsia" w:ascii="仿宋" w:hAnsi="仿宋" w:eastAsia="仿宋" w:cs="仿宋"/>
          <w:b w:val="0"/>
          <w:bCs w:val="0"/>
          <w:color w:val="000000"/>
          <w:kern w:val="0"/>
          <w:sz w:val="22"/>
          <w:szCs w:val="22"/>
          <w:u w:val="none"/>
          <w:lang w:val="en-US" w:eastAsia="zh-CN" w:bidi="ar"/>
        </w:rPr>
        <w:t>负责赔偿采购人由此而遭受的全部损失。</w:t>
      </w:r>
    </w:p>
    <w:p w14:paraId="5E8CFCA6">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（4）中标人保证其提供货品的安全可靠性。在正常使用下不应对使用者造成任何人身伤害，如因产品质量或标示不明确而对使用者造成损失的，由中标人承担相应责任。</w:t>
      </w:r>
    </w:p>
    <w:p w14:paraId="7BA50DC2">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F437FEE">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（6）中标人保证所供耗材有效期不低于1年，自通过最终验收之日起，确保采购人在使用耗材的过程中安全、有效。</w:t>
      </w:r>
    </w:p>
    <w:p w14:paraId="1EAE253A">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70DFC4F4">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按照《财政部关于进一步加强政府采购需求和履约验收管理的指导意见》（财库〔2016〕205号）的要求以及采购人竞选文件的质量要求和技术指标、中标人的响应文件及承诺（若有）、国家（行业）标准、采购合同约定标准进行验收；</w:t>
      </w:r>
    </w:p>
    <w:p w14:paraId="78A6128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1EE5EC9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3E57A854">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（4）其他未尽事宜严格按照《财政部关于进一步加强政府采购需求和履约验收管理的指导意见》（财库〔2016〕205号）的要求进行。</w:t>
      </w:r>
    </w:p>
    <w:p w14:paraId="52713629">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5C9C7A2B">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要求中标人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7891BE9D">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（2）要求中标人指派专人负责与采购人联系售后服务事宜；在响应文件中列明售后联系人及联系电话。</w:t>
      </w:r>
    </w:p>
    <w:p w14:paraId="7CE77668">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249DC018">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（4）耗材临近失效期，采购人提前三个月向中标人提出更换，中标人须在耗材失效前一个月更换完毕，不得以任何理由进行推诿。</w:t>
      </w:r>
    </w:p>
    <w:p w14:paraId="1CC67C5E">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（5）中标人必须随货提供其具备医疗器械经营企业的有关合法有效的手续（包括但不限于）：</w:t>
      </w:r>
    </w:p>
    <w:p w14:paraId="60C9E30F">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1).产品所涉及逐级授权经销商的医疗器械生产（经营）许可证或生产（经营）企业备案表；</w:t>
      </w:r>
    </w:p>
    <w:p w14:paraId="3887A989">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2).医疗器械产品注册证或备案凭证；</w:t>
      </w:r>
    </w:p>
    <w:p w14:paraId="55A14814">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3).医疗器械生产企业许可证；</w:t>
      </w:r>
    </w:p>
    <w:p w14:paraId="07D1E742">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4).经销商获得的委托授权书（逐级）；</w:t>
      </w:r>
    </w:p>
    <w:p w14:paraId="25D51D9D">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5).产品所涉及逐级授权经销商的企业法人营业执照。</w:t>
      </w:r>
    </w:p>
    <w:p w14:paraId="26C97E66">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6).采购人要求提供的相关资料。</w:t>
      </w:r>
    </w:p>
    <w:p w14:paraId="510E1FEF">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2B3B4BFD">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p>
    <w:p w14:paraId="01AE4795">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22FEA12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（1）中标人须严格按照《商品包装政府采购需求标准(试行)》、《快递包装政府采购需求标准(试行)》(财办库〔2020〕123 号)的要求进行产品及相关快递服务的包装。 </w:t>
      </w:r>
    </w:p>
    <w:p w14:paraId="5A29914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3CE6C1D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（3）本次采购的标的物需要运输，中标人在合同约定的时间内将标的物运输至合同约定地点。</w:t>
      </w:r>
    </w:p>
    <w:p w14:paraId="21BFEBEE">
      <w:pPr>
        <w:ind w:firstLine="440" w:firstLineChars="200"/>
        <w:jc w:val="left"/>
        <w:textAlignment w:val="center"/>
        <w:rPr>
          <w:rFonts w:hint="eastAsia" w:ascii="仿宋" w:hAnsi="仿宋" w:eastAsia="仿宋" w:cs="仿宋"/>
          <w:color w:val="000000"/>
          <w:kern w:val="0"/>
          <w:sz w:val="22"/>
          <w:szCs w:val="22"/>
          <w:u w:val="none"/>
          <w:lang w:val="en-US" w:eastAsia="zh-CN" w:bidi="ar"/>
        </w:rPr>
      </w:pPr>
    </w:p>
    <w:p w14:paraId="48A37E1B">
      <w:pPr>
        <w:pStyle w:val="8"/>
        <w:jc w:val="left"/>
        <w:outlineLvl w:val="1"/>
        <w:rPr>
          <w:rFonts w:hint="eastAsia" w:ascii="仿宋" w:hAnsi="仿宋" w:eastAsia="仿宋" w:cs="仿宋"/>
        </w:rPr>
      </w:pPr>
      <w:r>
        <w:rPr>
          <w:rFonts w:hint="eastAsia" w:ascii="仿宋" w:hAnsi="仿宋" w:eastAsia="仿宋" w:cs="仿宋"/>
          <w:b/>
          <w:sz w:val="28"/>
        </w:rPr>
        <w:t>3.4.其他要求</w:t>
      </w:r>
    </w:p>
    <w:p w14:paraId="5A0A1852">
      <w:pPr>
        <w:pStyle w:val="8"/>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0FB8D854">
      <w:pPr>
        <w:pStyle w:val="8"/>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2475F0E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（1）中标人逾期15日内不能提供采购人所需医用耗材的，应向采购人每日支付该批次货款千分之三的违约金。</w:t>
      </w:r>
    </w:p>
    <w:p w14:paraId="2F3B61D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（2）中标人逾期15日及以上不能交付以上产品的，视同不能供货，须向采购人支付该批次货款的10%的违约金，同时采购人可以单方面解除采购合同。</w:t>
      </w:r>
    </w:p>
    <w:p w14:paraId="35D1D05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（3）若因中标人原因造成采购人被监管部门通报三次及以上的或者造成采购人违规采购，采购人有权单方面解除采购合同。同时，采购人有权要求中标人支付该批货物价款20%的违约金。</w:t>
      </w:r>
    </w:p>
    <w:p w14:paraId="1A72F84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弥补采购人损失的，中标人还应当承补足。</w:t>
      </w:r>
    </w:p>
    <w:p w14:paraId="1A75CA6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即使产品已经验收入库（或安装调试完毕）后，采购人才发现产品为不合格产品的，也视为中标人违约，中标人应当承担本条约定的责任。同时采购人有权退回库存产品。</w:t>
      </w:r>
    </w:p>
    <w:p w14:paraId="158C4C4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（5）若根据法律规定或本协议约定产生采购人退、换货或拒绝收货情形，由中标人承担退换货产生的各项税、费或其他支出。</w:t>
      </w:r>
    </w:p>
    <w:p w14:paraId="20571F0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（6）中标人不能保证及时供货，除应当向采购人承担违约责任外，采购人仍有权单方面解除采购合同。</w:t>
      </w:r>
    </w:p>
    <w:p w14:paraId="71B2B6E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（7）因中标人提供的产品不合格造成采购人或第三人人身损害或财产损失的，由中标人承担赔偿责任。</w:t>
      </w:r>
    </w:p>
    <w:p w14:paraId="022D437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中标人原因造成采购人挂网执行存在问题以及线上支付不及时、造成采购人未挂网采购的或者存在其他问题的，中标人应承担违约责任，且采购人有权要求中标人支付该批货物价款20%的违约金，采购人有权单方面解除合同。</w:t>
      </w:r>
    </w:p>
    <w:p w14:paraId="31055687">
      <w:pPr>
        <w:pStyle w:val="8"/>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3FA1727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（1）因货物的质量问题发生的争议，由法定质量鉴定机构或其认可的质量鉴定机构进行质量鉴定。货物符合标准的，鉴定费由采购人承担；货物不符合质量标准的，鉴定费由中标人承担。</w:t>
      </w:r>
    </w:p>
    <w:p w14:paraId="61F64D86">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（2）合同履行期间，若双方发生争议，可协商或由有关部门调解解决，协商或调解不成的，可向采购人所在地人民法院依法提起诉讼。</w:t>
      </w:r>
    </w:p>
    <w:p w14:paraId="47095D7B">
      <w:pPr>
        <w:pStyle w:val="8"/>
        <w:ind w:firstLine="480"/>
        <w:jc w:val="left"/>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1年；</w:t>
      </w:r>
    </w:p>
    <w:p w14:paraId="71CE5AF8">
      <w:pPr>
        <w:pStyle w:val="8"/>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1BB9DD50">
      <w:pPr>
        <w:pStyle w:val="8"/>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57F33F69">
      <w:pPr>
        <w:pStyle w:val="8"/>
        <w:ind w:firstLine="480"/>
        <w:rPr>
          <w:rFonts w:hint="default"/>
        </w:rPr>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CF"/>
    <w:rsid w:val="0011004D"/>
    <w:rsid w:val="004911EA"/>
    <w:rsid w:val="00944298"/>
    <w:rsid w:val="009C1562"/>
    <w:rsid w:val="00A44ECE"/>
    <w:rsid w:val="00CC118B"/>
    <w:rsid w:val="00F33597"/>
    <w:rsid w:val="00F54FCF"/>
    <w:rsid w:val="077F66F5"/>
    <w:rsid w:val="108B406B"/>
    <w:rsid w:val="1ACE595C"/>
    <w:rsid w:val="312E4E5B"/>
    <w:rsid w:val="334C0768"/>
    <w:rsid w:val="685330A3"/>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
    <w:qFormat/>
    <w:uiPriority w:val="99"/>
    <w:pPr>
      <w:snapToGrid w:val="0"/>
      <w:spacing w:line="440" w:lineRule="exact"/>
    </w:pPr>
    <w:rPr>
      <w:rFonts w:eastAsia="Times New Roman"/>
      <w:sz w:val="20"/>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 w:type="character" w:customStyle="1" w:styleId="9">
    <w:name w:val="页眉 Char"/>
    <w:basedOn w:val="7"/>
    <w:link w:val="4"/>
    <w:qFormat/>
    <w:uiPriority w:val="0"/>
    <w:rPr>
      <w:rFonts w:ascii="Times New Roman" w:hAnsi="Times New Roman" w:eastAsia="宋体" w:cs="Times New Roman"/>
      <w:kern w:val="2"/>
      <w:sz w:val="18"/>
      <w:szCs w:val="18"/>
    </w:rPr>
  </w:style>
  <w:style w:type="character" w:customStyle="1" w:styleId="10">
    <w:name w:val="页脚 Char"/>
    <w:basedOn w:val="7"/>
    <w:link w:val="3"/>
    <w:uiPriority w:val="0"/>
    <w:rPr>
      <w:rFonts w:ascii="Times New Roman" w:hAnsi="Times New Roman" w:eastAsia="宋体" w:cs="Times New Roman"/>
      <w:kern w:val="2"/>
      <w:sz w:val="18"/>
      <w:szCs w:val="18"/>
    </w:rPr>
  </w:style>
  <w:style w:type="character" w:customStyle="1" w:styleId="11">
    <w:name w:val="正文文本 Char"/>
    <w:basedOn w:val="7"/>
    <w:link w:val="2"/>
    <w:uiPriority w:val="99"/>
    <w:rPr>
      <w:rFonts w:ascii="Times New Roman" w:hAnsi="Times New Roman" w:eastAsia="Times New Roman" w:cs="Times New Roman"/>
      <w:kern w:val="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4109</Words>
  <Characters>4252</Characters>
  <Lines>33</Lines>
  <Paragraphs>9</Paragraphs>
  <TotalTime>0</TotalTime>
  <ScaleCrop>false</ScaleCrop>
  <LinksUpToDate>false</LinksUpToDate>
  <CharactersWithSpaces>4261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郭</cp:lastModifiedBy>
  <dcterms:modified xsi:type="dcterms:W3CDTF">2025-04-10T08:50:06Z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eyJoZGlkIjoiNWU1ZTcyN2UzZTk4NzhhZTBlZTMzNDViODhkOGE4YmUiLCJ1c2VySWQiOiI0MzgyMTYwMzgifQ==</vt:lpwstr>
  </property>
  <property fmtid="{D5CDD505-2E9C-101B-9397-08002B2CF9AE}" pid="4" name="ICV">
    <vt:lpwstr>C5B7C8CBB9774CFEB3B6A5951A74B4A9_12</vt:lpwstr>
  </property>
</Properties>
</file>