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8CD820">
      <w:pPr>
        <w:jc w:val="center"/>
        <w:rPr>
          <w:rFonts w:hint="eastAsia" w:ascii="仿宋" w:hAnsi="仿宋" w:eastAsia="仿宋" w:cs="仿宋"/>
          <w:b/>
          <w:bCs/>
          <w:sz w:val="28"/>
          <w:szCs w:val="28"/>
          <w:highlight w:val="none"/>
          <w:lang w:val="en-US" w:eastAsia="zh-CN"/>
        </w:rPr>
      </w:pPr>
      <w:r>
        <w:rPr>
          <w:rFonts w:hint="eastAsia" w:ascii="仿宋" w:hAnsi="仿宋" w:eastAsia="仿宋" w:cs="仿宋"/>
          <w:b/>
          <w:bCs/>
          <w:sz w:val="28"/>
          <w:szCs w:val="28"/>
          <w:highlight w:val="none"/>
          <w:lang w:val="en-US" w:eastAsia="zh-CN"/>
        </w:rPr>
        <w:t>内江市第一人民医院企业微信办公服务采购项目采购需求</w:t>
      </w:r>
    </w:p>
    <w:p w14:paraId="1556D49D">
      <w:pPr>
        <w:jc w:val="center"/>
        <w:rPr>
          <w:rFonts w:hint="default" w:ascii="仿宋" w:hAnsi="仿宋" w:eastAsia="仿宋" w:cs="仿宋"/>
          <w:b/>
          <w:bCs/>
          <w:sz w:val="28"/>
          <w:szCs w:val="28"/>
          <w:highlight w:val="none"/>
          <w:lang w:val="en-US" w:eastAsia="zh-CN"/>
        </w:rPr>
      </w:pPr>
    </w:p>
    <w:p w14:paraId="44BFF2F4">
      <w:pPr>
        <w:pStyle w:val="11"/>
        <w:spacing w:line="360" w:lineRule="auto"/>
        <w:ind w:firstLine="480"/>
        <w:jc w:val="left"/>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（注：本章的技术、服务及其他要求中，带“★”的要求为实质性要求。</w:t>
      </w:r>
      <w:r>
        <w:rPr>
          <w:rFonts w:hint="eastAsia" w:ascii="仿宋" w:hAnsi="仿宋" w:eastAsia="仿宋" w:cs="仿宋"/>
          <w:color w:val="auto"/>
          <w:sz w:val="24"/>
          <w:szCs w:val="24"/>
          <w:highlight w:val="none"/>
          <w:lang w:eastAsia="zh-CN"/>
        </w:rPr>
        <w:t>采购人</w:t>
      </w:r>
      <w:r>
        <w:rPr>
          <w:rFonts w:hint="eastAsia" w:ascii="仿宋" w:hAnsi="仿宋" w:eastAsia="仿宋" w:cs="仿宋"/>
          <w:color w:val="auto"/>
          <w:sz w:val="24"/>
          <w:szCs w:val="24"/>
          <w:highlight w:val="none"/>
        </w:rPr>
        <w:t>、代理机构应当根据项目实际要求合理设定，并在第五章符合性审查中明确响应要求。）</w:t>
      </w:r>
    </w:p>
    <w:p w14:paraId="6B50E3A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outlineLvl w:val="2"/>
        <w:rPr>
          <w:rFonts w:hint="eastAsia" w:ascii="仿宋" w:hAnsi="仿宋" w:eastAsia="仿宋" w:cs="仿宋"/>
          <w:b/>
          <w:color w:val="auto"/>
          <w:sz w:val="24"/>
          <w:szCs w:val="24"/>
          <w:lang w:val="en-US" w:eastAsia="zh-CN"/>
        </w:rPr>
      </w:pPr>
      <w:r>
        <w:rPr>
          <w:rFonts w:hint="eastAsia" w:ascii="仿宋" w:hAnsi="仿宋" w:eastAsia="仿宋" w:cs="仿宋"/>
          <w:b/>
          <w:color w:val="auto"/>
          <w:sz w:val="24"/>
          <w:szCs w:val="24"/>
          <w:lang w:val="en-US" w:eastAsia="zh-CN"/>
        </w:rPr>
        <w:t>一、★服务要求</w:t>
      </w:r>
    </w:p>
    <w:p w14:paraId="19743E49">
      <w:pPr>
        <w:keepNext w:val="0"/>
        <w:keepLines w:val="0"/>
        <w:pageBreakBefore w:val="0"/>
        <w:widowControl w:val="0"/>
        <w:tabs>
          <w:tab w:val="left" w:pos="900"/>
        </w:tabs>
        <w:kinsoku/>
        <w:wordWrap/>
        <w:overflowPunct/>
        <w:topLinePunct w:val="0"/>
        <w:autoSpaceDE/>
        <w:autoSpaceDN/>
        <w:bidi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1、工作范围</w:t>
      </w:r>
    </w:p>
    <w:p w14:paraId="68A4DC6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1.1 对院内的架构进行分类管理，包括部门管理、职务管理、员工管理、标签管理等。通过这些管理功能，</w:t>
      </w:r>
      <w:r>
        <w:rPr>
          <w:rFonts w:hint="eastAsia" w:ascii="仿宋" w:hAnsi="仿宋" w:eastAsia="仿宋" w:cs="仿宋"/>
          <w:color w:val="auto"/>
          <w:sz w:val="24"/>
          <w:szCs w:val="24"/>
          <w:lang w:eastAsia="zh-CN"/>
        </w:rPr>
        <w:t>企业微信</w:t>
      </w:r>
      <w:r>
        <w:rPr>
          <w:rFonts w:hint="eastAsia" w:ascii="仿宋" w:hAnsi="仿宋" w:eastAsia="仿宋" w:cs="仿宋"/>
          <w:color w:val="auto"/>
          <w:sz w:val="24"/>
          <w:szCs w:val="24"/>
        </w:rPr>
        <w:t>可以规范院内的组织架构，明确责任和权限的分配，提高办公效率和协同工作的能力。</w:t>
      </w:r>
    </w:p>
    <w:p w14:paraId="0E0758F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1.2 使用流程引擎实现业务流程的自动化、规范化和优化，从而提高医院的运营效率和管理水平。同时，流程引擎的灵活性和可扩展性也使得医院能够根据实际情况进行业务流程的调整和优化，以适应不断变化的市场环境和业务需求。                                                                                                                                                                                                                                                                                                                        </w:t>
      </w:r>
    </w:p>
    <w:p w14:paraId="7A5F5097">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1.3 包含通知公告、收发文管理模块以及CMS引擎，实现院内内容发布的电子化流转和管理，提高办公效率、信息传递的及时性和准确性。同时，通过权限控制和安全保护措施，可以确保文件的安全性和保密性。</w:t>
      </w:r>
    </w:p>
    <w:p w14:paraId="1A13250B">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1.4 包含工资条、通讯录等，为医院实现人事流程的自动化、集中化和规范化，提高人事管理效率，降低管理成本，并为员工提供更好的服务。</w:t>
      </w:r>
    </w:p>
    <w:p w14:paraId="531DF44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1.5 包含会议室预定、投票等应用，旨在提高医院的管理效率、服务质量和工作流程自动化，同时系统还支持移动办公和远程协作，方便医护人员在任何地点都能及时处理工作事务，提高工作的灵活性和便捷性。</w:t>
      </w:r>
    </w:p>
    <w:p w14:paraId="5E3FB60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2、其他服务</w:t>
      </w:r>
    </w:p>
    <w:p w14:paraId="0D29CB7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2.1解答使用者的日常操作疑问；</w:t>
      </w:r>
    </w:p>
    <w:p w14:paraId="4F45330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2.2解决系统的软件安装指导、配置及应用故障处理（常规远程处理）；</w:t>
      </w:r>
    </w:p>
    <w:p w14:paraId="42164321">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2.3定期对系统管理者进行培训，确保管理人员能顺利对新进员工进行系统操作培训；</w:t>
      </w:r>
    </w:p>
    <w:p w14:paraId="2FEBA57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2.4根据新进员工申请，在数据库中对各项数据进行数据调整；</w:t>
      </w:r>
    </w:p>
    <w:p w14:paraId="7D345A5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2.5配合进行系统的调整、排查、基础优化；</w:t>
      </w:r>
    </w:p>
    <w:p w14:paraId="597EE009">
      <w:pPr>
        <w:pStyle w:val="11"/>
        <w:spacing w:line="360" w:lineRule="auto"/>
        <w:ind w:firstLine="480"/>
        <w:jc w:val="left"/>
        <w:rPr>
          <w:rFonts w:hint="eastAsia" w:ascii="仿宋" w:hAnsi="仿宋" w:eastAsia="仿宋" w:cs="仿宋"/>
          <w:color w:val="auto"/>
          <w:sz w:val="24"/>
          <w:szCs w:val="24"/>
          <w:lang w:eastAsia="zh-CN"/>
        </w:rPr>
      </w:pPr>
      <w:r>
        <w:rPr>
          <w:rFonts w:hint="eastAsia" w:ascii="仿宋" w:hAnsi="仿宋" w:eastAsia="仿宋" w:cs="仿宋"/>
          <w:color w:val="auto"/>
          <w:sz w:val="24"/>
          <w:szCs w:val="24"/>
        </w:rPr>
        <w:t>2.6需与原有服务系统对接并保持系统稳定</w:t>
      </w:r>
      <w:r>
        <w:rPr>
          <w:rFonts w:hint="eastAsia" w:ascii="仿宋" w:hAnsi="仿宋" w:eastAsia="仿宋" w:cs="仿宋"/>
          <w:color w:val="auto"/>
          <w:sz w:val="24"/>
          <w:szCs w:val="24"/>
          <w:lang w:eastAsia="zh-CN"/>
        </w:rPr>
        <w:t>。</w:t>
      </w:r>
    </w:p>
    <w:p w14:paraId="03DB92B7">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3、运维升级：系统常规升级需求</w:t>
      </w:r>
    </w:p>
    <w:p w14:paraId="06455399">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3.1针对体系内的底层操作系统进行同步升级，不含医院特殊定制升级的开发服务；</w:t>
      </w:r>
    </w:p>
    <w:p w14:paraId="110F7ECE">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3.2定期收集日常操作整改意见；</w:t>
      </w:r>
    </w:p>
    <w:p w14:paraId="6CB2D9F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3.3提供系统已有模块的远程升级服务；</w:t>
      </w:r>
    </w:p>
    <w:p w14:paraId="102960FA">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3.4完成升级或者整改后的实际测试工作。</w:t>
      </w:r>
    </w:p>
    <w:p w14:paraId="4F15CD0E">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4、云安全：系统常规安全需求</w:t>
      </w:r>
    </w:p>
    <w:p w14:paraId="1909611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4.1用户访问权限控制：系统采用基于角色的安全控制策略，为系统管理员提供灵活的维护配置功能。</w:t>
      </w:r>
    </w:p>
    <w:p w14:paraId="5AD2E4F5">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4.2备份与恢复：定期配合院方对各类系统数据的准确性、完整性、安全性进行排查，故障时可通过备份数据及时恢复，保证数据不丢失。</w:t>
      </w:r>
    </w:p>
    <w:p w14:paraId="7290C32F">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4.3数据安全：系统能够提供日备份功能，如果系统崩溃，能够恢复前一日数据。</w:t>
      </w:r>
    </w:p>
    <w:p w14:paraId="5F9E253C">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4.4系统稳定运行：支持大数据量信息的存储和处理能力，系统能够 7x24 小时不间断运行。</w:t>
      </w:r>
    </w:p>
    <w:p w14:paraId="33D3573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outlineLvl w:val="2"/>
        <w:rPr>
          <w:rFonts w:hint="eastAsia" w:ascii="仿宋" w:hAnsi="仿宋" w:eastAsia="仿宋" w:cs="仿宋"/>
          <w:b/>
          <w:color w:val="auto"/>
          <w:sz w:val="24"/>
          <w:szCs w:val="24"/>
          <w:lang w:val="en-US" w:eastAsia="zh-CN"/>
        </w:rPr>
      </w:pPr>
      <w:bookmarkStart w:id="0" w:name="_Hlk138769458"/>
      <w:r>
        <w:rPr>
          <w:rFonts w:hint="eastAsia" w:ascii="仿宋" w:hAnsi="仿宋" w:eastAsia="仿宋" w:cs="仿宋"/>
          <w:b/>
          <w:color w:val="auto"/>
          <w:sz w:val="24"/>
          <w:szCs w:val="24"/>
          <w:lang w:val="en-US" w:eastAsia="zh-CN"/>
        </w:rPr>
        <w:t>二、</w:t>
      </w:r>
      <w:r>
        <w:rPr>
          <w:rFonts w:hint="eastAsia" w:ascii="仿宋" w:hAnsi="仿宋" w:eastAsia="仿宋" w:cs="仿宋"/>
          <w:b/>
          <w:bCs/>
          <w:color w:val="auto"/>
          <w:kern w:val="0"/>
          <w:sz w:val="24"/>
          <w:szCs w:val="24"/>
          <w:lang w:val="zh-CN" w:bidi="zh-CN"/>
        </w:rPr>
        <w:t>★</w:t>
      </w:r>
      <w:r>
        <w:rPr>
          <w:rFonts w:hint="eastAsia" w:ascii="仿宋" w:hAnsi="仿宋" w:eastAsia="仿宋" w:cs="仿宋"/>
          <w:b/>
          <w:color w:val="auto"/>
          <w:sz w:val="24"/>
          <w:szCs w:val="24"/>
          <w:lang w:val="en-US" w:eastAsia="zh-CN"/>
        </w:rPr>
        <w:t>商务要求</w:t>
      </w:r>
    </w:p>
    <w:p w14:paraId="665CDFF3">
      <w:pPr>
        <w:keepNext w:val="0"/>
        <w:keepLines w:val="0"/>
        <w:pageBreakBefore w:val="0"/>
        <w:widowControl w:val="0"/>
        <w:tabs>
          <w:tab w:val="left" w:pos="900"/>
        </w:tabs>
        <w:kinsoku/>
        <w:wordWrap/>
        <w:overflowPunct/>
        <w:topLinePunct w:val="0"/>
        <w:autoSpaceDE/>
        <w:autoSpaceDN/>
        <w:bidi w:val="0"/>
        <w:spacing w:line="360" w:lineRule="auto"/>
        <w:jc w:val="both"/>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1、服务期限：一年。</w:t>
      </w:r>
    </w:p>
    <w:p w14:paraId="18F8ED3D">
      <w:pPr>
        <w:keepNext w:val="0"/>
        <w:keepLines w:val="0"/>
        <w:pageBreakBefore w:val="0"/>
        <w:widowControl w:val="0"/>
        <w:tabs>
          <w:tab w:val="left" w:pos="900"/>
        </w:tabs>
        <w:kinsoku/>
        <w:wordWrap/>
        <w:overflowPunct/>
        <w:topLinePunct w:val="0"/>
        <w:autoSpaceDE/>
        <w:autoSpaceDN/>
        <w:bidi w:val="0"/>
        <w:spacing w:line="360" w:lineRule="auto"/>
        <w:jc w:val="both"/>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2、结算方式：按照实际使用情况每月支付服务费用，若当月暂停使用服务则不支付该月费用）。</w:t>
      </w:r>
    </w:p>
    <w:bookmarkEnd w:id="0"/>
    <w:p w14:paraId="1E329493">
      <w:pPr>
        <w:keepNext w:val="0"/>
        <w:keepLines w:val="0"/>
        <w:pageBreakBefore w:val="0"/>
        <w:widowControl w:val="0"/>
        <w:tabs>
          <w:tab w:val="left" w:pos="900"/>
        </w:tabs>
        <w:kinsoku/>
        <w:wordWrap/>
        <w:overflowPunct/>
        <w:topLinePunct w:val="0"/>
        <w:autoSpaceDE/>
        <w:autoSpaceDN/>
        <w:bidi w:val="0"/>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3</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团队要求</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提供远程维护服务的项目实施人员、项目故障支持人员、运维及测试人员，不少于2人。供应商须详细列出参与本项目的人员姓名、年龄、学历、职责分工、专业技术培训认证情况。</w:t>
      </w:r>
    </w:p>
    <w:p w14:paraId="0B474D14">
      <w:pPr>
        <w:keepNext w:val="0"/>
        <w:keepLines w:val="0"/>
        <w:pageBreakBefore w:val="0"/>
        <w:widowControl w:val="0"/>
        <w:tabs>
          <w:tab w:val="left" w:pos="900"/>
        </w:tabs>
        <w:kinsoku/>
        <w:wordWrap/>
        <w:overflowPunct/>
        <w:topLinePunct w:val="0"/>
        <w:autoSpaceDE/>
        <w:autoSpaceDN/>
        <w:bidi w:val="0"/>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4</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人员要求</w:t>
      </w:r>
      <w:r>
        <w:rPr>
          <w:rFonts w:hint="eastAsia" w:ascii="仿宋" w:hAnsi="仿宋" w:eastAsia="仿宋" w:cs="仿宋"/>
          <w:color w:val="auto"/>
          <w:sz w:val="24"/>
          <w:szCs w:val="24"/>
          <w:lang w:val="en-US" w:eastAsia="zh-CN"/>
        </w:rPr>
        <w:t>:</w:t>
      </w:r>
      <w:r>
        <w:rPr>
          <w:rFonts w:hint="eastAsia" w:ascii="仿宋" w:hAnsi="仿宋" w:eastAsia="仿宋" w:cs="仿宋"/>
          <w:color w:val="auto"/>
          <w:sz w:val="24"/>
          <w:szCs w:val="24"/>
        </w:rPr>
        <w:t>运维经理负责管理业务应用运维或者软件和系统运维项目；计划、管理和分配资源，确定优先级，协调用户和客户的交互；建立一系列的实践活动以确保项目工作产品的完整性和质量。</w:t>
      </w:r>
    </w:p>
    <w:p w14:paraId="053DB4E8">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5</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 xml:space="preserve">售后服务要求：供应商必须根据本次采购文件所制定的目标和范围，提出相应的售后服务方案，并作为响应文件的一部分提交。 </w:t>
      </w:r>
    </w:p>
    <w:p w14:paraId="51E164A4">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5.1、服务响应要求：有专门服务热线，且售后服务人员保持7*24小时电话响应。提供每周7*24小时免费技术咨询服务，如使用者在使用过程中如发现不能自行解决的问题，可直接用电话、传真等方式与乙方联系，乙方将在2小时响应，并与采购方协商解决办法。一般故障4小时内远程处理完毕，重大故障12小时内处理完毕。</w:t>
      </w:r>
    </w:p>
    <w:p w14:paraId="16CB5C2D">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eastAsia" w:ascii="仿宋" w:hAnsi="仿宋" w:eastAsia="仿宋" w:cs="仿宋"/>
          <w:color w:val="auto"/>
          <w:sz w:val="24"/>
          <w:szCs w:val="24"/>
        </w:rPr>
      </w:pPr>
      <w:r>
        <w:rPr>
          <w:rFonts w:hint="eastAsia" w:ascii="仿宋" w:hAnsi="仿宋" w:eastAsia="仿宋" w:cs="仿宋"/>
          <w:color w:val="auto"/>
          <w:sz w:val="24"/>
          <w:szCs w:val="24"/>
        </w:rPr>
        <w:t>5.2质量管理要求：提出项目实施中的集成技术设计、系统开发、安装调试和运维服务的全过程质量管理及控制提出具体措施，并提出质量保障目标的承诺；对本项目的实施进行风险控制。</w:t>
      </w:r>
    </w:p>
    <w:p w14:paraId="2428C426">
      <w:pPr>
        <w:pStyle w:val="11"/>
        <w:spacing w:line="360" w:lineRule="auto"/>
        <w:ind w:firstLine="480"/>
        <w:jc w:val="left"/>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5.3.售后服务要求：提供应急售后服务人员不少于1人,满足应急响应4小时内远程解决。售后维护内容包括：软件的维护、升级、医生端的操作故障。系统年稳定运行时间符合国家软件质量运行标准。超过运维期的维护费和续费原则，由双方共同协商而定。</w:t>
      </w:r>
    </w:p>
    <w:p w14:paraId="6D26D2FC">
      <w:pPr>
        <w:snapToGrid w:val="0"/>
        <w:spacing w:before="156" w:beforeLines="50" w:line="360" w:lineRule="auto"/>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6</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验收标准：在合同规定的时间内，需以运维服务完工的申请报告形式书面通知医院，以声明现场运维服务完毕。</w:t>
      </w:r>
    </w:p>
    <w:p w14:paraId="1D9E3EA3">
      <w:pPr>
        <w:pStyle w:val="5"/>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eastAsia="仿宋" w:cs="仿宋"/>
          <w:b/>
          <w:bCs/>
          <w:color w:val="auto"/>
          <w:spacing w:val="0"/>
          <w:kern w:val="0"/>
          <w:sz w:val="24"/>
          <w:szCs w:val="24"/>
          <w:lang w:val="zh-CN" w:eastAsia="zh-CN" w:bidi="zh-CN"/>
        </w:rPr>
      </w:pPr>
      <w:r>
        <w:rPr>
          <w:rFonts w:hint="eastAsia" w:ascii="仿宋" w:hAnsi="仿宋" w:eastAsia="仿宋" w:cs="仿宋"/>
          <w:b/>
          <w:bCs/>
          <w:color w:val="auto"/>
          <w:spacing w:val="0"/>
          <w:kern w:val="0"/>
          <w:sz w:val="24"/>
          <w:szCs w:val="24"/>
          <w:lang w:val="zh-CN" w:eastAsia="zh-CN" w:bidi="zh-CN"/>
        </w:rPr>
        <w:t>三、</w:t>
      </w:r>
      <w:r>
        <w:rPr>
          <w:rFonts w:hint="eastAsia" w:ascii="仿宋" w:hAnsi="仿宋" w:eastAsia="仿宋" w:cs="仿宋"/>
          <w:b/>
          <w:bCs/>
          <w:color w:val="auto"/>
          <w:kern w:val="0"/>
          <w:sz w:val="24"/>
          <w:szCs w:val="24"/>
          <w:lang w:val="zh-CN" w:bidi="zh-CN"/>
        </w:rPr>
        <w:t>★</w:t>
      </w:r>
      <w:r>
        <w:rPr>
          <w:rFonts w:hint="eastAsia" w:ascii="仿宋" w:hAnsi="仿宋" w:eastAsia="仿宋" w:cs="仿宋"/>
          <w:b/>
          <w:bCs/>
          <w:color w:val="auto"/>
          <w:spacing w:val="0"/>
          <w:kern w:val="0"/>
          <w:sz w:val="24"/>
          <w:szCs w:val="24"/>
          <w:lang w:val="en-US" w:eastAsia="zh-CN" w:bidi="zh-CN"/>
        </w:rPr>
        <w:t>合同管理安排</w:t>
      </w:r>
    </w:p>
    <w:p w14:paraId="237850E2">
      <w:pPr>
        <w:pStyle w:val="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pacing w:val="0"/>
          <w:kern w:val="2"/>
          <w:sz w:val="24"/>
          <w:szCs w:val="24"/>
          <w:lang w:val="en-US" w:eastAsia="zh-CN" w:bidi="ar-SA"/>
        </w:rPr>
      </w:pPr>
      <w:r>
        <w:rPr>
          <w:rFonts w:hint="eastAsia" w:ascii="仿宋" w:hAnsi="仿宋" w:eastAsia="仿宋" w:cs="仿宋"/>
          <w:color w:val="auto"/>
          <w:spacing w:val="0"/>
          <w:kern w:val="2"/>
          <w:sz w:val="24"/>
          <w:szCs w:val="24"/>
          <w:lang w:val="en-US" w:eastAsia="zh-CN" w:bidi="ar-SA"/>
        </w:rPr>
        <w:t>1、本项目为据实结算。</w:t>
      </w:r>
    </w:p>
    <w:p w14:paraId="73D5E25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pacing w:val="0"/>
          <w:kern w:val="2"/>
          <w:sz w:val="24"/>
          <w:szCs w:val="24"/>
          <w:lang w:val="en-US" w:eastAsia="zh-CN" w:bidi="ar-SA"/>
        </w:rPr>
      </w:pPr>
      <w:r>
        <w:rPr>
          <w:rFonts w:hint="eastAsia" w:ascii="仿宋" w:hAnsi="仿宋" w:eastAsia="仿宋" w:cs="仿宋"/>
          <w:color w:val="auto"/>
          <w:spacing w:val="0"/>
          <w:kern w:val="2"/>
          <w:sz w:val="24"/>
          <w:szCs w:val="24"/>
          <w:lang w:val="en-US" w:eastAsia="zh-CN" w:bidi="ar-SA"/>
        </w:rPr>
        <w:t>2、合同履行期限：一年。</w:t>
      </w:r>
    </w:p>
    <w:p w14:paraId="58C1DB5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pacing w:val="0"/>
          <w:kern w:val="2"/>
          <w:sz w:val="24"/>
          <w:szCs w:val="24"/>
          <w:lang w:val="en-US" w:eastAsia="zh-CN" w:bidi="ar-SA"/>
        </w:rPr>
      </w:pPr>
      <w:r>
        <w:rPr>
          <w:rFonts w:hint="eastAsia" w:ascii="仿宋" w:hAnsi="仿宋" w:eastAsia="仿宋" w:cs="仿宋"/>
          <w:color w:val="auto"/>
          <w:spacing w:val="0"/>
          <w:kern w:val="2"/>
          <w:sz w:val="24"/>
          <w:szCs w:val="24"/>
          <w:lang w:val="en-US" w:eastAsia="zh-CN" w:bidi="ar-SA"/>
        </w:rPr>
        <w:t>3、合同履约地点：内江市第一人民医院。</w:t>
      </w:r>
    </w:p>
    <w:p w14:paraId="3F0F5CB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pacing w:val="0"/>
          <w:kern w:val="2"/>
          <w:sz w:val="24"/>
          <w:szCs w:val="24"/>
          <w:lang w:val="en-US" w:eastAsia="zh-CN" w:bidi="ar-SA"/>
        </w:rPr>
      </w:pPr>
      <w:r>
        <w:rPr>
          <w:rFonts w:hint="eastAsia" w:ascii="仿宋" w:hAnsi="仿宋" w:eastAsia="仿宋" w:cs="仿宋"/>
          <w:color w:val="auto"/>
          <w:spacing w:val="0"/>
          <w:kern w:val="2"/>
          <w:sz w:val="24"/>
          <w:szCs w:val="24"/>
          <w:lang w:val="en-US" w:eastAsia="zh-CN" w:bidi="ar-SA"/>
        </w:rPr>
        <w:t>4、合同支付约定：按月支付。</w:t>
      </w:r>
    </w:p>
    <w:p w14:paraId="2745121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pacing w:val="0"/>
          <w:kern w:val="2"/>
          <w:sz w:val="24"/>
          <w:szCs w:val="24"/>
          <w:lang w:val="en-US" w:eastAsia="zh-CN" w:bidi="ar-SA"/>
        </w:rPr>
      </w:pPr>
      <w:r>
        <w:rPr>
          <w:rFonts w:hint="eastAsia" w:ascii="仿宋" w:hAnsi="仿宋" w:eastAsia="仿宋" w:cs="仿宋"/>
          <w:color w:val="auto"/>
          <w:spacing w:val="0"/>
          <w:kern w:val="2"/>
          <w:sz w:val="24"/>
          <w:szCs w:val="24"/>
          <w:lang w:val="en-US" w:eastAsia="zh-CN" w:bidi="ar-SA"/>
        </w:rPr>
        <w:t>5、违约责任与解决争议的方法：双方应协商解决，协商不成，提交履约所在地有管辖权人民法院管辖。</w:t>
      </w:r>
    </w:p>
    <w:p w14:paraId="2CEC8976">
      <w:pPr>
        <w:pStyle w:val="5"/>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color w:val="auto"/>
          <w:spacing w:val="0"/>
          <w:kern w:val="2"/>
          <w:sz w:val="24"/>
          <w:szCs w:val="24"/>
          <w:lang w:val="en-US" w:eastAsia="zh-CN" w:bidi="ar-SA"/>
        </w:rPr>
      </w:pPr>
      <w:r>
        <w:rPr>
          <w:rFonts w:hint="eastAsia" w:ascii="仿宋" w:hAnsi="仿宋" w:eastAsia="仿宋" w:cs="仿宋"/>
          <w:color w:val="auto"/>
          <w:spacing w:val="0"/>
          <w:kern w:val="2"/>
          <w:sz w:val="24"/>
          <w:szCs w:val="24"/>
          <w:lang w:val="en-US" w:eastAsia="zh-CN" w:bidi="ar-SA"/>
        </w:rPr>
        <w:t>6、本项目不要求缴纳履约保证金。</w:t>
      </w:r>
    </w:p>
    <w:p w14:paraId="721FC91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pacing w:val="0"/>
          <w:kern w:val="2"/>
          <w:sz w:val="24"/>
          <w:szCs w:val="24"/>
          <w:lang w:val="en-US" w:eastAsia="zh-CN" w:bidi="ar-SA"/>
        </w:rPr>
      </w:pPr>
      <w:r>
        <w:rPr>
          <w:rFonts w:hint="eastAsia" w:ascii="仿宋" w:hAnsi="仿宋" w:eastAsia="仿宋" w:cs="仿宋"/>
          <w:color w:val="auto"/>
          <w:spacing w:val="0"/>
          <w:kern w:val="2"/>
          <w:sz w:val="24"/>
          <w:szCs w:val="24"/>
          <w:lang w:val="en-US" w:eastAsia="zh-CN" w:bidi="ar-SA"/>
        </w:rPr>
        <w:t>7、本项目不要求缴纳质量保证金。</w:t>
      </w:r>
    </w:p>
    <w:p w14:paraId="1ABE414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2" w:firstLineChars="200"/>
        <w:textAlignment w:val="auto"/>
        <w:outlineLvl w:val="2"/>
        <w:rPr>
          <w:rFonts w:hint="eastAsia" w:ascii="仿宋" w:hAnsi="仿宋" w:eastAsia="仿宋" w:cs="仿宋"/>
          <w:b/>
          <w:color w:val="auto"/>
          <w:sz w:val="24"/>
          <w:szCs w:val="24"/>
          <w:lang w:val="en-US" w:eastAsia="zh-CN"/>
        </w:rPr>
      </w:pPr>
      <w:r>
        <w:rPr>
          <w:rFonts w:hint="eastAsia" w:ascii="仿宋" w:hAnsi="仿宋" w:eastAsia="仿宋" w:cs="仿宋"/>
          <w:b/>
          <w:color w:val="auto"/>
          <w:sz w:val="24"/>
          <w:szCs w:val="24"/>
          <w:lang w:val="en-US" w:eastAsia="zh-CN"/>
        </w:rPr>
        <w:t>四、</w:t>
      </w:r>
      <w:r>
        <w:rPr>
          <w:rFonts w:hint="eastAsia" w:ascii="仿宋" w:hAnsi="仿宋" w:eastAsia="仿宋" w:cs="仿宋"/>
          <w:b/>
          <w:bCs/>
          <w:color w:val="auto"/>
          <w:kern w:val="0"/>
          <w:sz w:val="24"/>
          <w:szCs w:val="24"/>
          <w:lang w:val="zh-CN" w:bidi="zh-CN"/>
        </w:rPr>
        <w:t>★</w:t>
      </w:r>
      <w:r>
        <w:rPr>
          <w:rFonts w:hint="eastAsia" w:ascii="仿宋" w:hAnsi="仿宋" w:eastAsia="仿宋" w:cs="仿宋"/>
          <w:b/>
          <w:color w:val="auto"/>
          <w:sz w:val="24"/>
          <w:szCs w:val="24"/>
          <w:lang w:val="en-US" w:eastAsia="zh-CN"/>
        </w:rPr>
        <w:t>履约验收方案</w:t>
      </w:r>
    </w:p>
    <w:p w14:paraId="6C77CF0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pacing w:val="0"/>
          <w:kern w:val="2"/>
          <w:sz w:val="24"/>
          <w:szCs w:val="24"/>
          <w:lang w:val="en-US" w:eastAsia="zh-CN" w:bidi="ar-SA"/>
        </w:rPr>
      </w:pPr>
      <w:r>
        <w:rPr>
          <w:rFonts w:hint="eastAsia" w:ascii="仿宋" w:hAnsi="仿宋" w:eastAsia="仿宋" w:cs="仿宋"/>
          <w:color w:val="auto"/>
          <w:spacing w:val="0"/>
          <w:kern w:val="2"/>
          <w:sz w:val="24"/>
          <w:szCs w:val="24"/>
          <w:lang w:val="en-US" w:eastAsia="zh-CN" w:bidi="ar-SA"/>
        </w:rPr>
        <w:t>1、验收组织方式：☑自行验收□委托采购代理机构验收</w:t>
      </w:r>
    </w:p>
    <w:p w14:paraId="0577E096">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pacing w:val="0"/>
          <w:kern w:val="2"/>
          <w:sz w:val="24"/>
          <w:szCs w:val="24"/>
          <w:lang w:val="en-US" w:eastAsia="zh-CN" w:bidi="ar-SA"/>
        </w:rPr>
      </w:pPr>
      <w:r>
        <w:rPr>
          <w:rFonts w:hint="eastAsia" w:ascii="仿宋" w:hAnsi="仿宋" w:eastAsia="仿宋" w:cs="仿宋"/>
          <w:color w:val="auto"/>
          <w:spacing w:val="0"/>
          <w:kern w:val="2"/>
          <w:sz w:val="24"/>
          <w:szCs w:val="24"/>
          <w:lang w:val="en-US" w:eastAsia="zh-CN" w:bidi="ar-SA"/>
        </w:rPr>
        <w:t>2、是否邀请本项目的其他供应商：□是☑否</w:t>
      </w:r>
    </w:p>
    <w:p w14:paraId="7607F29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pacing w:val="0"/>
          <w:kern w:val="2"/>
          <w:sz w:val="24"/>
          <w:szCs w:val="24"/>
          <w:lang w:val="en-US" w:eastAsia="zh-CN" w:bidi="ar-SA"/>
        </w:rPr>
      </w:pPr>
      <w:r>
        <w:rPr>
          <w:rFonts w:hint="eastAsia" w:ascii="仿宋" w:hAnsi="仿宋" w:eastAsia="仿宋" w:cs="仿宋"/>
          <w:color w:val="auto"/>
          <w:spacing w:val="0"/>
          <w:kern w:val="2"/>
          <w:sz w:val="24"/>
          <w:szCs w:val="24"/>
          <w:lang w:val="en-US" w:eastAsia="zh-CN" w:bidi="ar-SA"/>
        </w:rPr>
        <w:t>3、是否邀请专家：□是☑否</w:t>
      </w:r>
    </w:p>
    <w:p w14:paraId="0D75BB1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pacing w:val="0"/>
          <w:kern w:val="2"/>
          <w:sz w:val="24"/>
          <w:szCs w:val="24"/>
          <w:lang w:val="en-US" w:eastAsia="zh-CN" w:bidi="ar-SA"/>
        </w:rPr>
      </w:pPr>
      <w:r>
        <w:rPr>
          <w:rFonts w:hint="eastAsia" w:ascii="仿宋" w:hAnsi="仿宋" w:eastAsia="仿宋" w:cs="仿宋"/>
          <w:color w:val="auto"/>
          <w:spacing w:val="0"/>
          <w:kern w:val="2"/>
          <w:sz w:val="24"/>
          <w:szCs w:val="24"/>
          <w:lang w:val="en-US" w:eastAsia="zh-CN" w:bidi="ar-SA"/>
        </w:rPr>
        <w:t>4、是否邀请第三方检测机构：□是☑否</w:t>
      </w:r>
    </w:p>
    <w:p w14:paraId="3076FBCF">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pacing w:val="0"/>
          <w:kern w:val="2"/>
          <w:sz w:val="24"/>
          <w:szCs w:val="24"/>
          <w:lang w:val="en-US" w:eastAsia="zh-CN" w:bidi="ar-SA"/>
        </w:rPr>
      </w:pPr>
      <w:r>
        <w:rPr>
          <w:rFonts w:hint="eastAsia" w:ascii="仿宋" w:hAnsi="仿宋" w:eastAsia="仿宋" w:cs="仿宋"/>
          <w:color w:val="auto"/>
          <w:spacing w:val="0"/>
          <w:kern w:val="2"/>
          <w:sz w:val="24"/>
          <w:szCs w:val="24"/>
          <w:lang w:val="en-US" w:eastAsia="zh-CN" w:bidi="ar-SA"/>
        </w:rPr>
        <w:t>5、履约验收程序：由科室验收确认交付</w:t>
      </w:r>
    </w:p>
    <w:p w14:paraId="1BB5F6A4">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pacing w:val="0"/>
          <w:kern w:val="2"/>
          <w:sz w:val="24"/>
          <w:szCs w:val="24"/>
          <w:lang w:val="en-US" w:eastAsia="zh-CN" w:bidi="ar-SA"/>
        </w:rPr>
      </w:pPr>
      <w:r>
        <w:rPr>
          <w:rFonts w:hint="eastAsia" w:ascii="仿宋" w:hAnsi="仿宋" w:eastAsia="仿宋" w:cs="仿宋"/>
          <w:color w:val="auto"/>
          <w:spacing w:val="0"/>
          <w:kern w:val="2"/>
          <w:sz w:val="24"/>
          <w:szCs w:val="24"/>
          <w:lang w:val="en-US" w:eastAsia="zh-CN" w:bidi="ar-SA"/>
        </w:rPr>
        <w:t>6、履约验收时间：合同签订15个工作日</w:t>
      </w:r>
      <w:bookmarkStart w:id="1" w:name="_GoBack"/>
      <w:bookmarkEnd w:id="1"/>
    </w:p>
    <w:p w14:paraId="5CC08AE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pacing w:val="0"/>
          <w:kern w:val="2"/>
          <w:sz w:val="24"/>
          <w:szCs w:val="24"/>
          <w:lang w:val="en-US" w:eastAsia="zh-CN" w:bidi="ar-SA"/>
        </w:rPr>
      </w:pPr>
      <w:r>
        <w:rPr>
          <w:rFonts w:hint="eastAsia" w:ascii="仿宋" w:hAnsi="仿宋" w:eastAsia="仿宋" w:cs="仿宋"/>
          <w:color w:val="auto"/>
          <w:spacing w:val="0"/>
          <w:kern w:val="2"/>
          <w:sz w:val="24"/>
          <w:szCs w:val="24"/>
          <w:lang w:val="en-US" w:eastAsia="zh-CN" w:bidi="ar-SA"/>
        </w:rPr>
        <w:t>7、验收组织的其他事项：无</w:t>
      </w:r>
    </w:p>
    <w:p w14:paraId="14D815A9">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pacing w:val="0"/>
          <w:kern w:val="2"/>
          <w:sz w:val="24"/>
          <w:szCs w:val="24"/>
          <w:lang w:val="en-US" w:eastAsia="zh-CN" w:bidi="ar-SA"/>
        </w:rPr>
      </w:pPr>
      <w:r>
        <w:rPr>
          <w:rFonts w:hint="eastAsia" w:ascii="仿宋" w:hAnsi="仿宋" w:eastAsia="仿宋" w:cs="仿宋"/>
          <w:color w:val="auto"/>
          <w:spacing w:val="0"/>
          <w:kern w:val="2"/>
          <w:sz w:val="24"/>
          <w:szCs w:val="24"/>
          <w:lang w:val="en-US" w:eastAsia="zh-CN" w:bidi="ar-SA"/>
        </w:rPr>
        <w:t>8、技术履约验收内容：根据技术参数条款验收</w:t>
      </w:r>
    </w:p>
    <w:p w14:paraId="5BC2340A">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pacing w:val="0"/>
          <w:kern w:val="2"/>
          <w:sz w:val="24"/>
          <w:szCs w:val="24"/>
          <w:lang w:val="en-US" w:eastAsia="zh-CN" w:bidi="ar-SA"/>
        </w:rPr>
      </w:pPr>
      <w:r>
        <w:rPr>
          <w:rFonts w:hint="eastAsia" w:ascii="仿宋" w:hAnsi="仿宋" w:eastAsia="仿宋" w:cs="仿宋"/>
          <w:color w:val="auto"/>
          <w:spacing w:val="0"/>
          <w:kern w:val="2"/>
          <w:sz w:val="24"/>
          <w:szCs w:val="24"/>
          <w:lang w:val="en-US" w:eastAsia="zh-CN" w:bidi="ar-SA"/>
        </w:rPr>
        <w:t>9、商务履约验收内容：根据商务条款验收</w:t>
      </w:r>
    </w:p>
    <w:p w14:paraId="18D2A0B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pacing w:val="0"/>
          <w:kern w:val="2"/>
          <w:sz w:val="24"/>
          <w:szCs w:val="24"/>
          <w:lang w:val="en-US" w:eastAsia="zh-CN" w:bidi="ar-SA"/>
        </w:rPr>
      </w:pPr>
      <w:r>
        <w:rPr>
          <w:rFonts w:hint="eastAsia" w:ascii="仿宋" w:hAnsi="仿宋" w:eastAsia="仿宋" w:cs="仿宋"/>
          <w:color w:val="auto"/>
          <w:spacing w:val="0"/>
          <w:kern w:val="2"/>
          <w:sz w:val="24"/>
          <w:szCs w:val="24"/>
          <w:lang w:val="en-US" w:eastAsia="zh-CN" w:bidi="ar-SA"/>
        </w:rPr>
        <w:t>10、履约收标准：按照法律法规和质量标准验收产品</w:t>
      </w:r>
    </w:p>
    <w:p w14:paraId="2EBBD90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仿宋" w:hAnsi="仿宋" w:eastAsia="仿宋" w:cs="仿宋"/>
          <w:color w:val="auto"/>
          <w:spacing w:val="0"/>
          <w:kern w:val="2"/>
          <w:sz w:val="24"/>
          <w:szCs w:val="24"/>
          <w:lang w:val="en-US" w:eastAsia="zh-CN" w:bidi="ar-SA"/>
        </w:rPr>
      </w:pPr>
      <w:r>
        <w:rPr>
          <w:rFonts w:hint="eastAsia" w:ascii="仿宋" w:hAnsi="仿宋" w:eastAsia="仿宋" w:cs="仿宋"/>
          <w:color w:val="auto"/>
          <w:spacing w:val="0"/>
          <w:kern w:val="2"/>
          <w:sz w:val="24"/>
          <w:szCs w:val="24"/>
          <w:lang w:val="en-US" w:eastAsia="zh-CN" w:bidi="ar-SA"/>
        </w:rPr>
        <w:t>11、履约验收其他事项：无</w:t>
      </w:r>
    </w:p>
    <w:p w14:paraId="1E50EC72">
      <w:pPr>
        <w:bidi w:val="0"/>
        <w:rPr>
          <w:rFonts w:hint="eastAsia" w:ascii="仿宋" w:hAnsi="仿宋" w:eastAsia="仿宋" w:cs="仿宋"/>
          <w:b/>
          <w:bCs/>
          <w:color w:val="auto"/>
          <w:lang w:val="en-US" w:eastAsia="zh-CN"/>
        </w:rPr>
      </w:pPr>
      <w:r>
        <w:rPr>
          <w:rFonts w:hint="eastAsia" w:ascii="仿宋" w:hAnsi="仿宋" w:eastAsia="仿宋" w:cs="仿宋"/>
          <w:b/>
          <w:bCs/>
          <w:color w:val="auto"/>
          <w:lang w:val="en-US" w:eastAsia="zh-CN"/>
        </w:rPr>
        <w:t>注：</w:t>
      </w:r>
      <w:r>
        <w:rPr>
          <w:rFonts w:hint="eastAsia" w:ascii="仿宋" w:hAnsi="仿宋" w:eastAsia="仿宋" w:cs="仿宋"/>
          <w:b/>
          <w:bCs/>
          <w:color w:val="auto"/>
          <w:kern w:val="0"/>
          <w:sz w:val="24"/>
          <w:szCs w:val="24"/>
          <w:lang w:val="zh-CN" w:bidi="zh-CN"/>
        </w:rPr>
        <w:t>★</w:t>
      </w:r>
      <w:r>
        <w:rPr>
          <w:rFonts w:hint="eastAsia" w:ascii="仿宋" w:hAnsi="仿宋" w:eastAsia="仿宋" w:cs="仿宋"/>
          <w:b/>
          <w:bCs/>
          <w:color w:val="auto"/>
          <w:kern w:val="0"/>
          <w:sz w:val="24"/>
          <w:szCs w:val="24"/>
          <w:lang w:val="en-US" w:bidi="zh-CN"/>
        </w:rPr>
        <w:t>条款为本项目实质性要求，不满足视为无效响应。</w:t>
      </w:r>
    </w:p>
    <w:p w14:paraId="371DCFF9">
      <w:pPr>
        <w:keepNext w:val="0"/>
        <w:keepLines w:val="0"/>
        <w:pageBreakBefore w:val="0"/>
        <w:kinsoku/>
        <w:wordWrap/>
        <w:overflowPunct/>
        <w:topLinePunct w:val="0"/>
        <w:autoSpaceDE/>
        <w:autoSpaceDN/>
        <w:bidi w:val="0"/>
        <w:adjustRightInd/>
        <w:snapToGrid/>
        <w:spacing w:line="360" w:lineRule="auto"/>
        <w:ind w:left="0" w:leftChars="0" w:firstLine="0" w:firstLineChars="0"/>
        <w:jc w:val="both"/>
        <w:rPr>
          <w:rFonts w:hint="default"/>
          <w:lang w:val="en-US"/>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汉仪粗仿宋简">
    <w:altName w:val="仿宋"/>
    <w:panose1 w:val="02010600000101010101"/>
    <w:charset w:val="86"/>
    <w:family w:val="auto"/>
    <w:pitch w:val="default"/>
    <w:sig w:usb0="00000000" w:usb1="00000000" w:usb2="00000002" w:usb3="00000000" w:csb0="00040000" w:csb1="00000000"/>
  </w:font>
  <w:font w:name="方正仿宋_GB2312">
    <w:altName w:val="仿宋"/>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IwMTNhOTdmNmQ0MWY2MDQ2NmRjOWU3OGRjMTRlY2YifQ=="/>
  </w:docVars>
  <w:rsids>
    <w:rsidRoot w:val="7953607C"/>
    <w:rsid w:val="028F70E4"/>
    <w:rsid w:val="042A0FA8"/>
    <w:rsid w:val="0AE81C26"/>
    <w:rsid w:val="0C3C461F"/>
    <w:rsid w:val="113C1EF6"/>
    <w:rsid w:val="13D16ECF"/>
    <w:rsid w:val="1DEE3DA9"/>
    <w:rsid w:val="21546BE1"/>
    <w:rsid w:val="228700B2"/>
    <w:rsid w:val="26373D07"/>
    <w:rsid w:val="28B716E0"/>
    <w:rsid w:val="29C70D30"/>
    <w:rsid w:val="2BDA29B4"/>
    <w:rsid w:val="2E391AA6"/>
    <w:rsid w:val="2EB62D0A"/>
    <w:rsid w:val="32340DB8"/>
    <w:rsid w:val="33926786"/>
    <w:rsid w:val="363B42CB"/>
    <w:rsid w:val="3779021A"/>
    <w:rsid w:val="37D526F5"/>
    <w:rsid w:val="3AC85E0B"/>
    <w:rsid w:val="41926356"/>
    <w:rsid w:val="4285599A"/>
    <w:rsid w:val="4464410A"/>
    <w:rsid w:val="49FC20A6"/>
    <w:rsid w:val="52706F89"/>
    <w:rsid w:val="58396BA4"/>
    <w:rsid w:val="5A2036AF"/>
    <w:rsid w:val="689867F4"/>
    <w:rsid w:val="6A477AC4"/>
    <w:rsid w:val="6DBF6C55"/>
    <w:rsid w:val="6EBE78D2"/>
    <w:rsid w:val="7135420A"/>
    <w:rsid w:val="71663DE2"/>
    <w:rsid w:val="71866F2D"/>
    <w:rsid w:val="72995BE4"/>
    <w:rsid w:val="738069EA"/>
    <w:rsid w:val="77264598"/>
    <w:rsid w:val="782E1D69"/>
    <w:rsid w:val="7953607C"/>
    <w:rsid w:val="7A3222C9"/>
    <w:rsid w:val="7F0C5A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9"/>
    <w:qFormat/>
    <w:uiPriority w:val="0"/>
    <w:pPr>
      <w:widowControl w:val="0"/>
      <w:autoSpaceDE/>
      <w:autoSpaceDN/>
      <w:spacing w:before="0" w:after="0" w:line="360" w:lineRule="auto"/>
      <w:ind w:left="0" w:firstLine="24"/>
      <w:jc w:val="center"/>
      <w:outlineLvl w:val="0"/>
    </w:pPr>
    <w:rPr>
      <w:rFonts w:ascii="Times New Roman" w:hAnsi="Times New Roman" w:eastAsia="仿宋" w:cs="Times New Roman"/>
      <w:b/>
      <w:sz w:val="28"/>
      <w:szCs w:val="22"/>
    </w:rPr>
  </w:style>
  <w:style w:type="paragraph" w:styleId="3">
    <w:name w:val="heading 2"/>
    <w:basedOn w:val="1"/>
    <w:next w:val="1"/>
    <w:link w:val="10"/>
    <w:semiHidden/>
    <w:unhideWhenUsed/>
    <w:qFormat/>
    <w:uiPriority w:val="0"/>
    <w:pPr>
      <w:keepNext/>
      <w:keepLines/>
      <w:spacing w:before="260" w:after="260" w:line="416" w:lineRule="auto"/>
      <w:outlineLvl w:val="1"/>
    </w:pPr>
    <w:rPr>
      <w:rFonts w:ascii="Arial" w:hAnsi="Arial" w:eastAsia="汉仪粗仿宋简" w:cs="Times New Roman"/>
      <w:b/>
      <w:bCs/>
      <w:sz w:val="44"/>
      <w:szCs w:val="32"/>
    </w:rPr>
  </w:style>
  <w:style w:type="paragraph" w:styleId="4">
    <w:name w:val="heading 3"/>
    <w:basedOn w:val="1"/>
    <w:next w:val="1"/>
    <w:semiHidden/>
    <w:unhideWhenUsed/>
    <w:qFormat/>
    <w:uiPriority w:val="0"/>
    <w:pPr>
      <w:keepNext/>
      <w:keepLines/>
      <w:spacing w:before="260" w:beforeLines="0" w:beforeAutospacing="0" w:after="260" w:afterLines="0" w:afterAutospacing="0" w:line="413" w:lineRule="auto"/>
      <w:outlineLvl w:val="2"/>
    </w:pPr>
    <w:rPr>
      <w:rFonts w:ascii="宋体" w:hAnsi="宋体" w:eastAsia="宋体" w:cs="Times New Roman"/>
      <w:b/>
      <w:sz w:val="24"/>
      <w:szCs w:val="22"/>
    </w:rPr>
  </w:style>
  <w:style w:type="character" w:default="1" w:styleId="8">
    <w:name w:val="Default Paragraph Font"/>
    <w:autoRedefine/>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Body Text"/>
    <w:basedOn w:val="1"/>
    <w:next w:val="1"/>
    <w:qFormat/>
    <w:uiPriority w:val="99"/>
    <w:pPr>
      <w:snapToGrid w:val="0"/>
      <w:spacing w:line="440" w:lineRule="exact"/>
    </w:pPr>
    <w:rPr>
      <w:rFonts w:ascii="Times New Roman" w:eastAsia="Times New Roman"/>
      <w:sz w:val="20"/>
    </w:rPr>
  </w:style>
  <w:style w:type="paragraph" w:styleId="6">
    <w:name w:val="toc 1"/>
    <w:basedOn w:val="1"/>
    <w:next w:val="1"/>
    <w:qFormat/>
    <w:uiPriority w:val="0"/>
    <w:pPr>
      <w:tabs>
        <w:tab w:val="right" w:leader="dot" w:pos="9345"/>
      </w:tabs>
      <w:spacing w:before="120" w:after="120" w:line="620" w:lineRule="exact"/>
      <w:ind w:right="-105" w:rightChars="-50"/>
      <w:jc w:val="left"/>
    </w:pPr>
    <w:rPr>
      <w:rFonts w:ascii="宋体" w:hAnsi="宋体" w:eastAsia="仿宋"/>
      <w:b/>
      <w:bCs/>
      <w:caps/>
      <w:sz w:val="32"/>
    </w:rPr>
  </w:style>
  <w:style w:type="character" w:customStyle="1" w:styleId="9">
    <w:name w:val="标题 1 字符"/>
    <w:link w:val="2"/>
    <w:autoRedefine/>
    <w:qFormat/>
    <w:uiPriority w:val="0"/>
    <w:rPr>
      <w:rFonts w:ascii="Times New Roman" w:hAnsi="Times New Roman" w:eastAsia="方正仿宋_GB2312" w:cs="Times New Roman"/>
      <w:b/>
      <w:sz w:val="44"/>
      <w:szCs w:val="22"/>
    </w:rPr>
  </w:style>
  <w:style w:type="character" w:customStyle="1" w:styleId="10">
    <w:name w:val="标题 2 Char"/>
    <w:link w:val="3"/>
    <w:qFormat/>
    <w:uiPriority w:val="0"/>
    <w:rPr>
      <w:rFonts w:ascii="Arial" w:hAnsi="Arial" w:eastAsia="汉仪粗仿宋简" w:cs="Times New Roman"/>
      <w:b/>
      <w:bCs/>
      <w:sz w:val="44"/>
      <w:szCs w:val="32"/>
    </w:rPr>
  </w:style>
  <w:style w:type="paragraph" w:customStyle="1" w:styleId="11">
    <w:name w:val="null3"/>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3889</Words>
  <Characters>3992</Characters>
  <Lines>0</Lines>
  <Paragraphs>0</Paragraphs>
  <TotalTime>0</TotalTime>
  <ScaleCrop>false</ScaleCrop>
  <LinksUpToDate>false</LinksUpToDate>
  <CharactersWithSpaces>3999</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2024-10-31T09:35:00Z</dcterms:created>
  <dc:creator>SJ</dc:creator>
  <cp:lastModifiedBy>刘颖</cp:lastModifiedBy>
  <dcterms:modified xsi:type="dcterms:W3CDTF">2025-04-11T03:16:49Z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8664F9AC8FC44F188527E45F877C279D_13</vt:lpwstr>
  </property>
  <property fmtid="{D5CDD505-2E9C-101B-9397-08002B2CF9AE}" pid="4" name="KSOTemplateDocerSaveRecord">
    <vt:lpwstr>eyJoZGlkIjoiY2IwZDY0MGJkYWYyNjgwNWIzOWU4ZjZiZjdmOWQ1ODIiLCJ1c2VySWQiOiIzMjU2NzM0MjkifQ==</vt:lpwstr>
  </property>
</Properties>
</file>