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67CCA">
      <w:pPr>
        <w:pStyle w:val="5"/>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0850A5A1">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48B5B3D">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5"/>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6B0BFD91">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6"/>
        <w:gridCol w:w="631"/>
        <w:gridCol w:w="2444"/>
        <w:gridCol w:w="1656"/>
        <w:gridCol w:w="1656"/>
        <w:gridCol w:w="1656"/>
      </w:tblGrid>
      <w:tr w14:paraId="06309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0" w:type="pct"/>
            <w:vAlign w:val="center"/>
          </w:tcPr>
          <w:p w14:paraId="464DF4A0">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70" w:type="pct"/>
            <w:vAlign w:val="center"/>
          </w:tcPr>
          <w:p w14:paraId="5DFB1238">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3" w:type="pct"/>
            <w:vAlign w:val="center"/>
          </w:tcPr>
          <w:p w14:paraId="75479793">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971" w:type="pct"/>
            <w:vAlign w:val="center"/>
          </w:tcPr>
          <w:p w14:paraId="04E8553B">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971" w:type="pct"/>
            <w:vAlign w:val="center"/>
          </w:tcPr>
          <w:p w14:paraId="1F8BE7D7">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971" w:type="pct"/>
            <w:vAlign w:val="center"/>
          </w:tcPr>
          <w:p w14:paraId="01C98B4E">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67061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Align w:val="center"/>
          </w:tcPr>
          <w:p w14:paraId="0A3B8807">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70" w:type="pct"/>
            <w:vAlign w:val="center"/>
          </w:tcPr>
          <w:p w14:paraId="134B04C9">
            <w:pPr>
              <w:pStyle w:val="5"/>
              <w:jc w:val="center"/>
              <w:rPr>
                <w:rFonts w:hint="eastAsia" w:ascii="仿宋" w:hAnsi="仿宋" w:eastAsia="仿宋" w:cs="仿宋"/>
                <w:sz w:val="20"/>
                <w:szCs w:val="20"/>
                <w:lang w:val="en-US" w:eastAsia="zh-CN"/>
              </w:rPr>
            </w:pPr>
            <w:r>
              <w:rPr>
                <w:rFonts w:hint="eastAsia" w:ascii="仿宋" w:hAnsi="仿宋" w:eastAsia="仿宋" w:cs="仿宋"/>
                <w:color w:val="auto"/>
                <w:kern w:val="2"/>
                <w:sz w:val="18"/>
                <w:szCs w:val="18"/>
                <w:highlight w:val="none"/>
                <w:shd w:val="clear" w:color="auto" w:fill="auto"/>
                <w:lang w:val="en-US" w:eastAsia="zh-CN" w:bidi="ar-SA"/>
              </w:rPr>
              <w:t>1</w:t>
            </w:r>
          </w:p>
        </w:tc>
        <w:tc>
          <w:tcPr>
            <w:tcW w:w="1433" w:type="pct"/>
            <w:vAlign w:val="center"/>
          </w:tcPr>
          <w:p w14:paraId="36E34CB6">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一氧化氮检测试剂盒</w:t>
            </w:r>
          </w:p>
        </w:tc>
        <w:tc>
          <w:tcPr>
            <w:tcW w:w="971" w:type="pct"/>
            <w:vAlign w:val="center"/>
          </w:tcPr>
          <w:p w14:paraId="243A9074">
            <w:pPr>
              <w:spacing w:line="400" w:lineRule="exact"/>
              <w:jc w:val="center"/>
              <w:rPr>
                <w:rFonts w:hint="default"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118</w:t>
            </w:r>
          </w:p>
        </w:tc>
        <w:tc>
          <w:tcPr>
            <w:tcW w:w="971" w:type="pct"/>
            <w:vAlign w:val="center"/>
          </w:tcPr>
          <w:p w14:paraId="51F47E19">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人次</w:t>
            </w:r>
          </w:p>
        </w:tc>
        <w:tc>
          <w:tcPr>
            <w:tcW w:w="971" w:type="pct"/>
            <w:vAlign w:val="center"/>
          </w:tcPr>
          <w:p w14:paraId="262B2819">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2420DD98">
      <w:pPr>
        <w:pStyle w:val="5"/>
        <w:ind w:firstLine="480"/>
        <w:jc w:val="left"/>
        <w:rPr>
          <w:rFonts w:hint="eastAsia" w:ascii="仿宋" w:hAnsi="仿宋" w:eastAsia="仿宋" w:cs="仿宋"/>
        </w:rPr>
      </w:pPr>
    </w:p>
    <w:p w14:paraId="179EBDA3">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0ED2689D">
      <w:pPr>
        <w:pStyle w:val="5"/>
        <w:jc w:val="left"/>
        <w:rPr>
          <w:rFonts w:hint="eastAsia" w:ascii="仿宋" w:hAnsi="仿宋" w:eastAsia="仿宋" w:cs="仿宋"/>
        </w:rPr>
      </w:pPr>
    </w:p>
    <w:p w14:paraId="4FC78A64">
      <w:pPr>
        <w:pStyle w:val="5"/>
        <w:jc w:val="left"/>
        <w:outlineLvl w:val="1"/>
        <w:rPr>
          <w:rFonts w:hint="eastAsia" w:ascii="仿宋" w:hAnsi="仿宋" w:eastAsia="仿宋" w:cs="仿宋"/>
          <w:lang w:eastAsia="zh-CN"/>
        </w:rPr>
      </w:pPr>
      <w:r>
        <w:rPr>
          <w:rFonts w:hint="eastAsia" w:ascii="仿宋" w:hAnsi="仿宋" w:eastAsia="仿宋" w:cs="仿宋"/>
          <w:b/>
          <w:sz w:val="28"/>
        </w:rPr>
        <w:t>3.2.技术要求</w:t>
      </w:r>
    </w:p>
    <w:p w14:paraId="7196B1CD">
      <w:pPr>
        <w:pStyle w:val="5"/>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15"/>
        <w:gridCol w:w="1584"/>
        <w:gridCol w:w="1636"/>
        <w:gridCol w:w="2030"/>
        <w:gridCol w:w="1866"/>
        <w:gridCol w:w="891"/>
      </w:tblGrid>
      <w:tr w14:paraId="24AB7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21" w:type="dxa"/>
            <w:vAlign w:val="center"/>
          </w:tcPr>
          <w:p w14:paraId="28EBC841">
            <w:pPr>
              <w:pStyle w:val="5"/>
              <w:jc w:val="center"/>
              <w:rPr>
                <w:rFonts w:hint="eastAsia" w:ascii="仿宋" w:hAnsi="仿宋" w:eastAsia="仿宋" w:cs="仿宋"/>
              </w:rPr>
            </w:pPr>
            <w:r>
              <w:rPr>
                <w:rFonts w:hint="eastAsia" w:ascii="仿宋" w:hAnsi="仿宋" w:eastAsia="仿宋" w:cs="仿宋"/>
              </w:rPr>
              <w:t>序号</w:t>
            </w:r>
          </w:p>
        </w:tc>
        <w:tc>
          <w:tcPr>
            <w:tcW w:w="1656" w:type="dxa"/>
            <w:vAlign w:val="center"/>
          </w:tcPr>
          <w:p w14:paraId="43FF87F7">
            <w:pPr>
              <w:pStyle w:val="5"/>
              <w:jc w:val="center"/>
              <w:rPr>
                <w:rFonts w:hint="eastAsia" w:ascii="仿宋" w:hAnsi="仿宋" w:eastAsia="仿宋" w:cs="仿宋"/>
              </w:rPr>
            </w:pPr>
            <w:r>
              <w:rPr>
                <w:rFonts w:hint="eastAsia" w:ascii="仿宋" w:hAnsi="仿宋" w:eastAsia="仿宋" w:cs="仿宋"/>
                <w:lang w:val="en-US" w:eastAsia="zh-CN"/>
              </w:rPr>
              <w:t>名称</w:t>
            </w:r>
          </w:p>
        </w:tc>
        <w:tc>
          <w:tcPr>
            <w:tcW w:w="1656" w:type="dxa"/>
            <w:vAlign w:val="center"/>
          </w:tcPr>
          <w:p w14:paraId="4FB3F509">
            <w:pPr>
              <w:pStyle w:val="5"/>
              <w:jc w:val="center"/>
              <w:rPr>
                <w:rFonts w:hint="eastAsia" w:ascii="仿宋" w:hAnsi="仿宋" w:eastAsia="仿宋" w:cs="仿宋"/>
              </w:rPr>
            </w:pPr>
            <w:r>
              <w:rPr>
                <w:rFonts w:hint="eastAsia" w:ascii="楷体" w:hAnsi="楷体" w:eastAsia="楷体" w:cs="楷体"/>
                <w:b w:val="0"/>
                <w:bCs w:val="0"/>
                <w:color w:val="auto"/>
                <w:sz w:val="24"/>
                <w:szCs w:val="24"/>
                <w:highlight w:val="none"/>
                <w:shd w:val="clear" w:color="auto" w:fill="auto"/>
                <w:lang w:val="en-US" w:eastAsia="zh-CN"/>
              </w:rPr>
              <w:t>★</w:t>
            </w:r>
            <w:r>
              <w:rPr>
                <w:rFonts w:hint="eastAsia" w:ascii="仿宋" w:hAnsi="仿宋" w:eastAsia="仿宋" w:cs="仿宋"/>
                <w:lang w:val="en-US" w:eastAsia="zh-CN"/>
              </w:rPr>
              <w:t>医保耗材代码</w:t>
            </w:r>
            <w:r>
              <w:rPr>
                <w:rFonts w:hint="eastAsia" w:ascii="仿宋" w:hAnsi="仿宋" w:eastAsia="仿宋" w:cs="仿宋"/>
                <w:b w:val="0"/>
                <w:bCs w:val="0"/>
                <w:color w:val="auto"/>
                <w:sz w:val="20"/>
                <w:szCs w:val="20"/>
                <w:highlight w:val="none"/>
                <w:shd w:val="clear" w:color="auto" w:fill="auto"/>
                <w:lang w:val="en-US" w:eastAsia="zh-CN"/>
              </w:rPr>
              <w:t>（前九位）</w:t>
            </w:r>
          </w:p>
        </w:tc>
        <w:tc>
          <w:tcPr>
            <w:tcW w:w="2114" w:type="dxa"/>
            <w:vAlign w:val="center"/>
          </w:tcPr>
          <w:p w14:paraId="61CFD4B0">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预期用途</w:t>
            </w:r>
          </w:p>
        </w:tc>
        <w:tc>
          <w:tcPr>
            <w:tcW w:w="1656" w:type="dxa"/>
            <w:vAlign w:val="center"/>
          </w:tcPr>
          <w:p w14:paraId="1CDC2FA7">
            <w:pPr>
              <w:pStyle w:val="5"/>
              <w:jc w:val="center"/>
              <w:rPr>
                <w:rFonts w:hint="eastAsia" w:ascii="仿宋" w:hAnsi="仿宋" w:eastAsia="仿宋" w:cs="仿宋"/>
                <w:lang w:val="en-US" w:eastAsia="zh-CN"/>
              </w:rPr>
            </w:pPr>
            <w:r>
              <w:rPr>
                <w:rFonts w:hint="eastAsia" w:ascii="仿宋" w:hAnsi="仿宋" w:eastAsia="仿宋" w:cs="仿宋"/>
                <w:lang w:val="en-US" w:eastAsia="zh-CN"/>
              </w:rPr>
              <w:t>★适配机型</w:t>
            </w:r>
          </w:p>
        </w:tc>
        <w:tc>
          <w:tcPr>
            <w:tcW w:w="919" w:type="dxa"/>
            <w:vAlign w:val="center"/>
          </w:tcPr>
          <w:p w14:paraId="2D4D94B3">
            <w:pPr>
              <w:pStyle w:val="5"/>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166A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21" w:type="dxa"/>
            <w:vAlign w:val="center"/>
          </w:tcPr>
          <w:p w14:paraId="0DD51995">
            <w:pPr>
              <w:pStyle w:val="5"/>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656" w:type="dxa"/>
            <w:vAlign w:val="center"/>
          </w:tcPr>
          <w:p w14:paraId="316A3487">
            <w:pPr>
              <w:keepNext w:val="0"/>
              <w:keepLines w:val="0"/>
              <w:widowControl/>
              <w:suppressLineNumbers w:val="0"/>
              <w:jc w:val="center"/>
              <w:textAlignment w:val="center"/>
              <w:rPr>
                <w:rFonts w:hint="default" w:ascii="仿宋" w:hAnsi="仿宋" w:eastAsia="仿宋" w:cs="仿宋"/>
                <w:sz w:val="22"/>
                <w:szCs w:val="28"/>
                <w:lang w:val="en-US"/>
              </w:rPr>
            </w:pPr>
            <w:r>
              <w:rPr>
                <w:rFonts w:hint="eastAsia" w:ascii="仿宋" w:hAnsi="仿宋" w:eastAsia="仿宋" w:cs="仿宋"/>
                <w:b w:val="0"/>
                <w:bCs w:val="0"/>
                <w:color w:val="auto"/>
                <w:sz w:val="18"/>
                <w:szCs w:val="18"/>
                <w:highlight w:val="none"/>
                <w:shd w:val="clear" w:color="auto" w:fill="auto"/>
                <w:lang w:val="en-US" w:eastAsia="zh-CN"/>
              </w:rPr>
              <w:t>一氧化氮检测试剂盒</w:t>
            </w:r>
          </w:p>
        </w:tc>
        <w:tc>
          <w:tcPr>
            <w:tcW w:w="1656" w:type="dxa"/>
            <w:vAlign w:val="center"/>
          </w:tcPr>
          <w:p w14:paraId="6F824886">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C140703183</w:t>
            </w:r>
          </w:p>
        </w:tc>
        <w:tc>
          <w:tcPr>
            <w:tcW w:w="2114" w:type="dxa"/>
            <w:vAlign w:val="center"/>
          </w:tcPr>
          <w:p w14:paraId="779B6D60">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用于呼出气体中的一氧化氮浓度检测，其浓度与炎症细胞数目高度相关联，可作为气道炎症生物标志物，对气道炎症进行很好的评价；</w:t>
            </w:r>
          </w:p>
        </w:tc>
        <w:tc>
          <w:tcPr>
            <w:tcW w:w="1656" w:type="dxa"/>
            <w:vAlign w:val="center"/>
          </w:tcPr>
          <w:p w14:paraId="308899FB">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生产商：无锡市尚沃医疗电子股份有限公司；</w:t>
            </w:r>
          </w:p>
          <w:p w14:paraId="7159D2CD">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机器名称：一氧化氮呼吸检测仪；</w:t>
            </w:r>
          </w:p>
          <w:p w14:paraId="1C1441C1">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机器型号：Sunvou-CA2122。</w:t>
            </w:r>
          </w:p>
        </w:tc>
        <w:tc>
          <w:tcPr>
            <w:tcW w:w="919" w:type="dxa"/>
            <w:vAlign w:val="center"/>
          </w:tcPr>
          <w:p w14:paraId="7AB1CFC8">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7F5C1750">
      <w:pPr>
        <w:pStyle w:val="5"/>
        <w:jc w:val="left"/>
        <w:outlineLvl w:val="9"/>
        <w:rPr>
          <w:rFonts w:hint="eastAsia" w:ascii="仿宋" w:hAnsi="仿宋" w:eastAsia="仿宋" w:cs="仿宋"/>
          <w:b/>
          <w:sz w:val="28"/>
        </w:rPr>
      </w:pPr>
      <w:r>
        <w:rPr>
          <w:rFonts w:hint="eastAsia" w:ascii="仿宋" w:hAnsi="仿宋" w:eastAsia="仿宋" w:cs="仿宋"/>
          <w:b w:val="0"/>
          <w:kern w:val="2"/>
          <w:sz w:val="22"/>
          <w:szCs w:val="28"/>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1F9095C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6D1AD26C">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7C5D8796">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153822F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68465137">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p>
    <w:p w14:paraId="50C371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5EFE6D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6E1892A5">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3137A4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0D650F35">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6B5004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13ED65D">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0C5E33B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50515CB">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2986354B">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4119091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B34ED4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25D078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7DFF344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3C9EAC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A99176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48778C21">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0F20E41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成交供应商的响应文件及承诺（若有）、国家（行业）标准、本合同约定标准进行验收；</w:t>
      </w:r>
    </w:p>
    <w:p w14:paraId="091C012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726C6AD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54FFE1BB">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0B989C0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05454DA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（2）要求成交供应商指派专人负责与采购人联系售后服务事宜；在响应文件中列明售后联系人及联系电话；</w:t>
      </w:r>
    </w:p>
    <w:p w14:paraId="4D097F0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9FEA5A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7835D82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47590FA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1C3C12A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6D49169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1A0D7D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FE4EE6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5290007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5A56A48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68A3C148">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A25148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0344AFF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726F8F0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（3）本次采购的标的物需要运输，成交供应商在合同约定的时间内将标的物运输至合同约定地点。</w:t>
      </w:r>
    </w:p>
    <w:p w14:paraId="77C6361B">
      <w:pPr>
        <w:pStyle w:val="5"/>
        <w:jc w:val="left"/>
        <w:outlineLvl w:val="1"/>
        <w:rPr>
          <w:rFonts w:hint="eastAsia" w:ascii="仿宋" w:hAnsi="仿宋" w:eastAsia="仿宋" w:cs="仿宋"/>
        </w:rPr>
      </w:pPr>
      <w:r>
        <w:rPr>
          <w:rFonts w:hint="eastAsia" w:ascii="仿宋" w:hAnsi="仿宋" w:eastAsia="仿宋" w:cs="仿宋"/>
          <w:b/>
          <w:sz w:val="28"/>
        </w:rPr>
        <w:t>3.4.其他要求</w:t>
      </w:r>
    </w:p>
    <w:p w14:paraId="468D4DB8">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22F52EF1">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023FF87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（1）成交供应商逾期15日内不能提供采购人所需医用耗材的，应向采购人每日支付该批次货款千分之三的违约金。</w:t>
      </w:r>
    </w:p>
    <w:p w14:paraId="42BD0C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（2）成交供应商逾期15日及以上不能交付以上产品的，视同不能供货，须向采购人支付该批次货款的10%的违约金，同时采购人可以单方面解除本合同。</w:t>
      </w:r>
    </w:p>
    <w:p w14:paraId="5D0ED6E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（3）若因成交供应商原因造成采购人被监管部门通报三次及以上的或者造成采购人违规采购，采购人有权单方面解除本合同。同时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采购人有权要求成交供应商支付该批货物价款20%的违约金。</w:t>
      </w:r>
    </w:p>
    <w:p w14:paraId="7C1D0C7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销售的产品若发生严重医疗不良事件或被国家法定检测机构检测为不合格产品，视为成交供应商违约导致不能实现本合同目的，采购人有权单方面解除本合同，并要求成交供应商限期收回不合格产品，并要求成交供应商需承担合同价款20%的违约金，违约金不足以弥补采购人损失的，成交供应商还应当承补足。即使产品已经验收入库（或安装调试完毕）后，采购人才发现产品为不合格产品的，也视为成交供应商违约，成交供应商应当承担本条约定的责任。同时采购人有权退回库存产品。</w:t>
      </w:r>
    </w:p>
    <w:p w14:paraId="153A35A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（5）若根据法律规定或本协议约定产生采购人退、换货或拒绝收货情形，由成交供应商承担退换货产生的各项税、费或其他支出。</w:t>
      </w:r>
    </w:p>
    <w:p w14:paraId="346F7C8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（6）成交供应商不能保证及时供货，除应当向采购人承担违约责任外，采购人仍有权单方面解除本合同。</w:t>
      </w:r>
    </w:p>
    <w:p w14:paraId="7391A5F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（7）因成交供应商提供的产品不合格造成采购人或第三人人身损害或财产损失的，由成交供应商承担赔偿责任。</w:t>
      </w:r>
    </w:p>
    <w:p w14:paraId="5D7961B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19A9AE36">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5A72DE8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（1）因货物的质量问题发生的争议，由法定质量鉴定机构或其认可的质量鉴定机构进行质量鉴定。货物符合标准的，鉴定费由采购人承担；货物不符合质量标准的，鉴定费由成交供应商承担。</w:t>
      </w:r>
    </w:p>
    <w:p w14:paraId="565CFA7E">
      <w:pPr>
        <w:ind w:firstLine="440" w:firstLineChars="200"/>
        <w:jc w:val="left"/>
        <w:textAlignment w:val="center"/>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u w:val="none"/>
          <w:lang w:val="en-US" w:eastAsia="zh-CN" w:bidi="ar"/>
        </w:rPr>
        <w:t>（2）合同</w:t>
      </w:r>
      <w:r>
        <w:rPr>
          <w:rFonts w:hint="eastAsia" w:ascii="仿宋" w:hAnsi="仿宋" w:eastAsia="仿宋" w:cs="仿宋"/>
          <w:color w:val="000000"/>
          <w:kern w:val="0"/>
          <w:sz w:val="22"/>
          <w:szCs w:val="22"/>
          <w:highlight w:val="none"/>
          <w:u w:val="none"/>
          <w:lang w:val="en-US" w:eastAsia="zh-CN" w:bidi="ar"/>
        </w:rPr>
        <w:t>履行期间，若双方发生争议，可协商或由有关部门调解解决，协商或调解不成的，可向采购人所在地人民法院依法提起诉讼。</w:t>
      </w:r>
    </w:p>
    <w:p w14:paraId="73BBDC5B">
      <w:pPr>
        <w:pStyle w:val="5"/>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2年；</w:t>
      </w:r>
    </w:p>
    <w:p w14:paraId="39CD1221">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18121E5C">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w:t>
      </w:r>
      <w:r>
        <w:rPr>
          <w:rFonts w:hint="eastAsia" w:ascii="仿宋" w:hAnsi="仿宋" w:eastAsia="仿宋" w:cs="仿宋"/>
          <w:color w:val="000000"/>
          <w:kern w:val="0"/>
          <w:sz w:val="22"/>
          <w:szCs w:val="22"/>
          <w:u w:val="none"/>
          <w:lang w:val="en-US" w:eastAsia="zh-CN" w:bidi="ar"/>
        </w:rPr>
        <w:t>验收。</w:t>
      </w:r>
    </w:p>
    <w:p w14:paraId="79E11E9B">
      <w:pPr>
        <w:pStyle w:val="5"/>
        <w:ind w:firstLine="480"/>
        <w:jc w:val="left"/>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583579E"/>
    <w:rsid w:val="2A3F5029"/>
    <w:rsid w:val="312E4E5B"/>
    <w:rsid w:val="315A6BEC"/>
    <w:rsid w:val="368372FD"/>
    <w:rsid w:val="3E441D93"/>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3812</Words>
  <Characters>3899</Characters>
  <Lines>0</Lines>
  <Paragraphs>0</Paragraphs>
  <TotalTime>0</TotalTime>
  <ScaleCrop>false</ScaleCrop>
  <LinksUpToDate>false</LinksUpToDate>
  <CharactersWithSpaces>3904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2025-04-14T07:47:19Z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6E2C3EA67A714CE4A55372E4827A8551_13</vt:lpwstr>
  </property>
</Properties>
</file>