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F4BAE">
      <w:pPr>
        <w:keepNext w:val="0"/>
        <w:keepLines w:val="0"/>
        <w:pageBreakBefore w:val="0"/>
        <w:kinsoku/>
        <w:wordWrap/>
        <w:overflowPunct/>
        <w:topLinePunct w:val="0"/>
        <w:autoSpaceDE/>
        <w:autoSpaceDN/>
        <w:bidi w:val="0"/>
        <w:adjustRightInd/>
        <w:snapToGrid/>
        <w:spacing w:line="360" w:lineRule="auto"/>
        <w:jc w:val="center"/>
        <w:rPr>
          <w:rFonts w:hint="eastAsia" w:ascii="方正仿宋_GB18030" w:hAnsi="方正仿宋_GB18030" w:eastAsia="方正仿宋_GB18030" w:cs="方正仿宋_GB18030"/>
          <w:b/>
          <w:bCs/>
          <w:sz w:val="32"/>
          <w:szCs w:val="32"/>
          <w:lang w:val="en-US" w:eastAsia="zh-CN"/>
        </w:rPr>
      </w:pPr>
      <w:r>
        <w:rPr>
          <w:rFonts w:hint="eastAsia" w:ascii="方正仿宋_GB18030" w:hAnsi="方正仿宋_GB18030" w:eastAsia="方正仿宋_GB18030" w:cs="方正仿宋_GB18030"/>
          <w:b/>
          <w:bCs/>
          <w:sz w:val="32"/>
          <w:szCs w:val="32"/>
          <w:lang w:val="en-US" w:eastAsia="zh-CN"/>
        </w:rPr>
        <w:t>采购需求</w:t>
      </w:r>
      <w:bookmarkStart w:id="0" w:name="_GoBack"/>
      <w:bookmarkEnd w:id="0"/>
    </w:p>
    <w:p w14:paraId="10DE65F6">
      <w:pPr>
        <w:keepNext w:val="0"/>
        <w:keepLines w:val="0"/>
        <w:pageBreakBefore w:val="0"/>
        <w:kinsoku/>
        <w:wordWrap/>
        <w:overflowPunct/>
        <w:topLinePunct w:val="0"/>
        <w:autoSpaceDE/>
        <w:autoSpaceDN/>
        <w:bidi w:val="0"/>
        <w:adjustRightInd/>
        <w:snapToGrid/>
        <w:spacing w:line="360" w:lineRule="auto"/>
        <w:ind w:firstLine="480" w:firstLineChars="200"/>
        <w:jc w:val="left"/>
        <w:rPr>
          <w:rFonts w:hint="eastAsia" w:ascii="方正仿宋_GB18030" w:hAnsi="方正仿宋_GB18030" w:eastAsia="方正仿宋_GB18030" w:cs="方正仿宋_GB18030"/>
          <w:sz w:val="24"/>
          <w:szCs w:val="24"/>
          <w:highlight w:val="none"/>
          <w:lang w:val="en-US" w:eastAsia="zh-Hans"/>
        </w:rPr>
      </w:pPr>
      <w:r>
        <w:rPr>
          <w:rFonts w:hint="eastAsia" w:ascii="方正仿宋_GB18030" w:hAnsi="方正仿宋_GB18030" w:eastAsia="方正仿宋_GB18030" w:cs="方正仿宋_GB18030"/>
          <w:sz w:val="24"/>
          <w:szCs w:val="24"/>
          <w:lang w:val="en-US" w:eastAsia="zh-Hans"/>
        </w:rPr>
        <w:t>（注：本章的</w:t>
      </w:r>
      <w:r>
        <w:rPr>
          <w:rFonts w:hint="eastAsia" w:ascii="方正仿宋_GB18030" w:hAnsi="方正仿宋_GB18030" w:eastAsia="方正仿宋_GB18030" w:cs="方正仿宋_GB18030"/>
          <w:sz w:val="24"/>
          <w:szCs w:val="24"/>
          <w:highlight w:val="none"/>
          <w:lang w:val="en-US" w:eastAsia="zh-Hans"/>
        </w:rPr>
        <w:t>技术、服务及其他要求中，带“★”的要求为实质性要求。</w:t>
      </w:r>
      <w:r>
        <w:rPr>
          <w:rFonts w:hint="eastAsia" w:ascii="方正仿宋_GB18030" w:hAnsi="方正仿宋_GB18030" w:eastAsia="方正仿宋_GB18030" w:cs="方正仿宋_GB18030"/>
          <w:sz w:val="24"/>
          <w:szCs w:val="24"/>
          <w:highlight w:val="none"/>
          <w:lang w:val="en-US" w:eastAsia="zh-CN"/>
        </w:rPr>
        <w:t>采购人</w:t>
      </w:r>
      <w:r>
        <w:rPr>
          <w:rFonts w:hint="eastAsia" w:ascii="方正仿宋_GB18030" w:hAnsi="方正仿宋_GB18030" w:eastAsia="方正仿宋_GB18030" w:cs="方正仿宋_GB18030"/>
          <w:sz w:val="24"/>
          <w:szCs w:val="24"/>
          <w:highlight w:val="none"/>
          <w:lang w:val="en-US" w:eastAsia="zh-Hans"/>
        </w:rPr>
        <w:t>、代理机构应当根据项目实际要求合理设定，并在第五章符合性审查中明确响应要求。）</w:t>
      </w:r>
    </w:p>
    <w:p w14:paraId="7B6BCD6D">
      <w:pPr>
        <w:keepNext w:val="0"/>
        <w:keepLines w:val="0"/>
        <w:pageBreakBefore w:val="0"/>
        <w:kinsoku/>
        <w:wordWrap/>
        <w:overflowPunct/>
        <w:topLinePunct w:val="0"/>
        <w:autoSpaceDE/>
        <w:autoSpaceDN/>
        <w:bidi w:val="0"/>
        <w:adjustRightInd/>
        <w:snapToGrid/>
        <w:spacing w:line="360" w:lineRule="auto"/>
        <w:ind w:firstLine="480" w:firstLineChars="200"/>
        <w:jc w:val="left"/>
        <w:outlineLvl w:val="9"/>
        <w:rPr>
          <w:rFonts w:hint="eastAsia" w:ascii="方正仿宋_GB18030" w:hAnsi="方正仿宋_GB18030" w:eastAsia="方正仿宋_GB18030" w:cs="方正仿宋_GB18030"/>
          <w:b/>
          <w:sz w:val="24"/>
          <w:szCs w:val="24"/>
          <w:highlight w:val="none"/>
          <w:lang w:val="en-US" w:eastAsia="zh-CN"/>
        </w:rPr>
      </w:pPr>
      <w:r>
        <w:rPr>
          <w:rFonts w:hint="eastAsia" w:ascii="方正仿宋_GB18030" w:hAnsi="方正仿宋_GB18030" w:eastAsia="方正仿宋_GB18030" w:cs="方正仿宋_GB18030"/>
          <w:sz w:val="24"/>
          <w:szCs w:val="24"/>
          <w:highlight w:val="none"/>
          <w:lang w:val="en-US" w:eastAsia="zh-Hans"/>
        </w:rPr>
        <w:t>★</w:t>
      </w:r>
      <w:r>
        <w:rPr>
          <w:rFonts w:hint="eastAsia" w:ascii="方正仿宋_GB18030" w:hAnsi="方正仿宋_GB18030" w:eastAsia="方正仿宋_GB18030" w:cs="方正仿宋_GB18030"/>
          <w:b/>
          <w:sz w:val="24"/>
          <w:szCs w:val="24"/>
          <w:highlight w:val="none"/>
          <w:lang w:val="en-US" w:eastAsia="zh-CN"/>
        </w:rPr>
        <w:t>（一）标的情况</w:t>
      </w:r>
    </w:p>
    <w:tbl>
      <w:tblPr>
        <w:tblStyle w:val="2"/>
        <w:tblW w:w="4573"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5"/>
        <w:gridCol w:w="809"/>
        <w:gridCol w:w="1718"/>
        <w:gridCol w:w="889"/>
        <w:gridCol w:w="1680"/>
        <w:gridCol w:w="1300"/>
        <w:gridCol w:w="1293"/>
      </w:tblGrid>
      <w:tr w14:paraId="7CB815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49" w:hRule="atLeast"/>
          <w:jc w:val="center"/>
        </w:trPr>
        <w:tc>
          <w:tcPr>
            <w:tcW w:w="446" w:type="pct"/>
            <w:vAlign w:val="center"/>
          </w:tcPr>
          <w:p w14:paraId="02BB9C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包号</w:t>
            </w:r>
          </w:p>
        </w:tc>
        <w:tc>
          <w:tcPr>
            <w:tcW w:w="478" w:type="pct"/>
            <w:vAlign w:val="center"/>
          </w:tcPr>
          <w:p w14:paraId="66E3CC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017" w:type="pct"/>
            <w:vAlign w:val="center"/>
          </w:tcPr>
          <w:p w14:paraId="77075F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526" w:type="pct"/>
            <w:vAlign w:val="center"/>
          </w:tcPr>
          <w:p w14:paraId="1A7F1A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规格</w:t>
            </w:r>
          </w:p>
        </w:tc>
        <w:tc>
          <w:tcPr>
            <w:tcW w:w="994" w:type="pct"/>
            <w:vAlign w:val="center"/>
          </w:tcPr>
          <w:p w14:paraId="407C93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单价限价（元）</w:t>
            </w:r>
          </w:p>
        </w:tc>
        <w:tc>
          <w:tcPr>
            <w:tcW w:w="769" w:type="pct"/>
            <w:vAlign w:val="center"/>
          </w:tcPr>
          <w:p w14:paraId="24D13C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预估数量</w:t>
            </w:r>
          </w:p>
        </w:tc>
        <w:tc>
          <w:tcPr>
            <w:tcW w:w="765" w:type="pct"/>
            <w:vAlign w:val="center"/>
          </w:tcPr>
          <w:p w14:paraId="47E64E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单位</w:t>
            </w:r>
          </w:p>
        </w:tc>
      </w:tr>
      <w:tr w14:paraId="69489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1" w:hRule="atLeast"/>
          <w:jc w:val="center"/>
        </w:trPr>
        <w:tc>
          <w:tcPr>
            <w:tcW w:w="446" w:type="pct"/>
            <w:vMerge w:val="restart"/>
            <w:vAlign w:val="center"/>
          </w:tcPr>
          <w:p w14:paraId="23AE73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478" w:type="pct"/>
            <w:vAlign w:val="center"/>
          </w:tcPr>
          <w:p w14:paraId="71CA85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1017" w:type="pct"/>
            <w:vAlign w:val="center"/>
          </w:tcPr>
          <w:p w14:paraId="4832C8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纸质利器盒1</w:t>
            </w:r>
          </w:p>
        </w:tc>
        <w:tc>
          <w:tcPr>
            <w:tcW w:w="526" w:type="pct"/>
            <w:vAlign w:val="center"/>
          </w:tcPr>
          <w:p w14:paraId="0552ED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5L</w:t>
            </w:r>
          </w:p>
        </w:tc>
        <w:tc>
          <w:tcPr>
            <w:tcW w:w="994" w:type="pct"/>
            <w:vAlign w:val="center"/>
          </w:tcPr>
          <w:p w14:paraId="54D68E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6.00</w:t>
            </w:r>
          </w:p>
        </w:tc>
        <w:tc>
          <w:tcPr>
            <w:tcW w:w="769" w:type="pct"/>
            <w:vAlign w:val="center"/>
          </w:tcPr>
          <w:p w14:paraId="20E5B2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15000</w:t>
            </w:r>
          </w:p>
        </w:tc>
        <w:tc>
          <w:tcPr>
            <w:tcW w:w="765" w:type="pct"/>
            <w:vAlign w:val="center"/>
          </w:tcPr>
          <w:p w14:paraId="36327E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b/>
                <w:bCs/>
                <w:sz w:val="22"/>
                <w:szCs w:val="22"/>
                <w:lang w:val="en-US" w:eastAsia="zh-CN"/>
              </w:rPr>
              <w:t>个</w:t>
            </w:r>
          </w:p>
        </w:tc>
      </w:tr>
      <w:tr w14:paraId="1397A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1" w:hRule="atLeast"/>
          <w:jc w:val="center"/>
        </w:trPr>
        <w:tc>
          <w:tcPr>
            <w:tcW w:w="446" w:type="pct"/>
            <w:vMerge w:val="continue"/>
            <w:vAlign w:val="center"/>
          </w:tcPr>
          <w:p w14:paraId="474ACF0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p>
        </w:tc>
        <w:tc>
          <w:tcPr>
            <w:tcW w:w="478" w:type="pct"/>
            <w:vAlign w:val="center"/>
          </w:tcPr>
          <w:p w14:paraId="410ED5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1017" w:type="pct"/>
            <w:vAlign w:val="center"/>
          </w:tcPr>
          <w:p w14:paraId="65A671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纸质利器盒2</w:t>
            </w:r>
          </w:p>
        </w:tc>
        <w:tc>
          <w:tcPr>
            <w:tcW w:w="526" w:type="pct"/>
            <w:vAlign w:val="center"/>
          </w:tcPr>
          <w:p w14:paraId="27E81B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10.5L</w:t>
            </w:r>
          </w:p>
        </w:tc>
        <w:tc>
          <w:tcPr>
            <w:tcW w:w="994" w:type="pct"/>
            <w:vAlign w:val="center"/>
          </w:tcPr>
          <w:p w14:paraId="161232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8.00</w:t>
            </w:r>
          </w:p>
        </w:tc>
        <w:tc>
          <w:tcPr>
            <w:tcW w:w="769" w:type="pct"/>
            <w:vAlign w:val="center"/>
          </w:tcPr>
          <w:p w14:paraId="58BCBEA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7750</w:t>
            </w:r>
          </w:p>
        </w:tc>
        <w:tc>
          <w:tcPr>
            <w:tcW w:w="765" w:type="pct"/>
            <w:vAlign w:val="center"/>
          </w:tcPr>
          <w:p w14:paraId="0641F6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b/>
                <w:bCs/>
                <w:sz w:val="22"/>
                <w:szCs w:val="22"/>
                <w:lang w:val="en-US" w:eastAsia="zh-CN"/>
              </w:rPr>
              <w:t>个</w:t>
            </w:r>
          </w:p>
        </w:tc>
      </w:tr>
      <w:tr w14:paraId="07BC8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6" w:hRule="atLeast"/>
          <w:jc w:val="center"/>
        </w:trPr>
        <w:tc>
          <w:tcPr>
            <w:tcW w:w="446" w:type="pct"/>
            <w:vMerge w:val="continue"/>
            <w:vAlign w:val="center"/>
          </w:tcPr>
          <w:p w14:paraId="390A17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p>
        </w:tc>
        <w:tc>
          <w:tcPr>
            <w:tcW w:w="478" w:type="pct"/>
            <w:vAlign w:val="center"/>
          </w:tcPr>
          <w:p w14:paraId="442017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1017" w:type="pct"/>
            <w:vAlign w:val="center"/>
          </w:tcPr>
          <w:p w14:paraId="3C33CA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纸质利器盒3</w:t>
            </w:r>
          </w:p>
        </w:tc>
        <w:tc>
          <w:tcPr>
            <w:tcW w:w="526" w:type="pct"/>
            <w:vAlign w:val="center"/>
          </w:tcPr>
          <w:p w14:paraId="34C85E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20L</w:t>
            </w:r>
          </w:p>
        </w:tc>
        <w:tc>
          <w:tcPr>
            <w:tcW w:w="994" w:type="pct"/>
            <w:vAlign w:val="center"/>
          </w:tcPr>
          <w:p w14:paraId="53440C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14.00</w:t>
            </w:r>
          </w:p>
        </w:tc>
        <w:tc>
          <w:tcPr>
            <w:tcW w:w="769" w:type="pct"/>
            <w:vAlign w:val="center"/>
          </w:tcPr>
          <w:p w14:paraId="4BBBD9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7000</w:t>
            </w:r>
          </w:p>
        </w:tc>
        <w:tc>
          <w:tcPr>
            <w:tcW w:w="765" w:type="pct"/>
            <w:vAlign w:val="center"/>
          </w:tcPr>
          <w:p w14:paraId="131E30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sz w:val="22"/>
                <w:szCs w:val="22"/>
                <w:lang w:val="en-US" w:eastAsia="zh-CN"/>
              </w:rPr>
            </w:pPr>
            <w:r>
              <w:rPr>
                <w:rFonts w:hint="eastAsia" w:ascii="仿宋" w:hAnsi="仿宋" w:eastAsia="仿宋" w:cs="仿宋"/>
                <w:b/>
                <w:bCs/>
                <w:sz w:val="22"/>
                <w:szCs w:val="22"/>
                <w:lang w:val="en-US" w:eastAsia="zh-CN"/>
              </w:rPr>
              <w:t>个</w:t>
            </w:r>
          </w:p>
        </w:tc>
      </w:tr>
    </w:tbl>
    <w:p w14:paraId="0ED2689D">
      <w:pPr>
        <w:keepNext w:val="0"/>
        <w:keepLines w:val="0"/>
        <w:pageBreakBefore w:val="0"/>
        <w:kinsoku/>
        <w:wordWrap/>
        <w:overflowPunct/>
        <w:topLinePunct w:val="0"/>
        <w:autoSpaceDE/>
        <w:autoSpaceDN/>
        <w:bidi w:val="0"/>
        <w:adjustRightInd/>
        <w:snapToGrid/>
        <w:spacing w:line="360" w:lineRule="auto"/>
        <w:ind w:firstLine="440" w:firstLineChars="200"/>
        <w:jc w:val="left"/>
        <w:rPr>
          <w:rFonts w:hint="eastAsia" w:ascii="仿宋" w:hAnsi="仿宋" w:eastAsia="仿宋" w:cs="仿宋"/>
          <w:b/>
          <w:bCs/>
          <w:sz w:val="22"/>
          <w:szCs w:val="22"/>
          <w:lang w:val="en-US" w:eastAsia="zh-Hans"/>
        </w:rPr>
      </w:pPr>
      <w:r>
        <w:rPr>
          <w:rFonts w:hint="eastAsia" w:ascii="仿宋" w:hAnsi="仿宋" w:eastAsia="仿宋" w:cs="仿宋"/>
          <w:b/>
          <w:bCs/>
          <w:sz w:val="22"/>
          <w:szCs w:val="22"/>
          <w:lang w:val="en-US" w:eastAsia="zh-Hans"/>
        </w:rPr>
        <w:t>注：</w:t>
      </w:r>
      <w:r>
        <w:rPr>
          <w:rFonts w:hint="eastAsia" w:ascii="仿宋" w:hAnsi="仿宋" w:eastAsia="仿宋" w:cs="仿宋"/>
          <w:b/>
          <w:bCs/>
          <w:sz w:val="22"/>
          <w:szCs w:val="22"/>
          <w:lang w:val="en-US" w:eastAsia="zh-CN"/>
        </w:rPr>
        <w:t>供应商</w:t>
      </w:r>
      <w:r>
        <w:rPr>
          <w:rFonts w:hint="eastAsia" w:ascii="仿宋" w:hAnsi="仿宋" w:eastAsia="仿宋" w:cs="仿宋"/>
          <w:b/>
          <w:bCs/>
          <w:sz w:val="22"/>
          <w:szCs w:val="22"/>
          <w:lang w:val="en-US" w:eastAsia="zh-Hans"/>
        </w:rPr>
        <w:t>响应产品应当明确品牌和规格型号并指向唯一产品，不能指向唯一产品的，应通过报价表唯一产品说明栏补充说明。</w:t>
      </w:r>
    </w:p>
    <w:p w14:paraId="4B7445EF">
      <w:pPr>
        <w:keepNext w:val="0"/>
        <w:keepLines w:val="0"/>
        <w:pageBreakBefore w:val="0"/>
        <w:kinsoku/>
        <w:wordWrap/>
        <w:overflowPunct/>
        <w:topLinePunct w:val="0"/>
        <w:autoSpaceDE/>
        <w:autoSpaceDN/>
        <w:bidi w:val="0"/>
        <w:adjustRightInd/>
        <w:snapToGrid/>
        <w:spacing w:line="360" w:lineRule="auto"/>
        <w:ind w:firstLine="480" w:firstLineChars="200"/>
        <w:jc w:val="left"/>
        <w:outlineLvl w:val="9"/>
        <w:rPr>
          <w:rFonts w:hint="eastAsia" w:ascii="方正仿宋_GB18030" w:hAnsi="方正仿宋_GB18030" w:eastAsia="方正仿宋_GB18030" w:cs="方正仿宋_GB18030"/>
          <w:b/>
          <w:sz w:val="24"/>
          <w:szCs w:val="24"/>
          <w:highlight w:val="none"/>
          <w:lang w:val="en-US" w:eastAsia="zh-Hans"/>
        </w:rPr>
      </w:pPr>
      <w:r>
        <w:rPr>
          <w:rFonts w:hint="eastAsia" w:ascii="方正仿宋_GB18030" w:hAnsi="方正仿宋_GB18030" w:eastAsia="方正仿宋_GB18030" w:cs="方正仿宋_GB18030"/>
          <w:sz w:val="24"/>
          <w:szCs w:val="24"/>
          <w:highlight w:val="none"/>
          <w:lang w:val="en-US" w:eastAsia="zh-Hans"/>
        </w:rPr>
        <w:t>★</w:t>
      </w:r>
      <w:r>
        <w:rPr>
          <w:rFonts w:hint="eastAsia" w:ascii="方正仿宋_GB18030" w:hAnsi="方正仿宋_GB18030" w:eastAsia="方正仿宋_GB18030" w:cs="方正仿宋_GB18030"/>
          <w:b/>
          <w:sz w:val="24"/>
          <w:szCs w:val="24"/>
          <w:highlight w:val="none"/>
          <w:lang w:val="en-US" w:eastAsia="zh-CN"/>
        </w:rPr>
        <w:t>（二）参数</w:t>
      </w:r>
      <w:r>
        <w:rPr>
          <w:rFonts w:hint="eastAsia" w:ascii="方正仿宋_GB18030" w:hAnsi="方正仿宋_GB18030" w:eastAsia="方正仿宋_GB18030" w:cs="方正仿宋_GB18030"/>
          <w:b/>
          <w:sz w:val="24"/>
          <w:szCs w:val="24"/>
          <w:highlight w:val="none"/>
          <w:lang w:val="en-US" w:eastAsia="zh-Hans"/>
        </w:rPr>
        <w:t>要求</w:t>
      </w:r>
    </w:p>
    <w:p w14:paraId="27FEE8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b/>
          <w:bCs/>
          <w:snapToGrid/>
          <w:kern w:val="2"/>
          <w:sz w:val="24"/>
          <w:szCs w:val="24"/>
          <w:highlight w:val="none"/>
          <w:lang w:val="en-US" w:eastAsia="zh-CN" w:bidi="ar-SA"/>
        </w:rPr>
      </w:pPr>
      <w:r>
        <w:rPr>
          <w:rFonts w:hint="eastAsia" w:ascii="Times New Roman" w:hAnsi="Times New Roman" w:eastAsia="仿宋" w:cs="Times New Roman"/>
          <w:snapToGrid/>
          <w:kern w:val="2"/>
          <w:sz w:val="24"/>
          <w:szCs w:val="24"/>
          <w:highlight w:val="none"/>
          <w:lang w:val="en-US" w:eastAsia="zh-CN" w:bidi="ar-SA"/>
        </w:rPr>
        <w:t>1、合同签订前向采购人提供符合《医疗废物专用包装袋、容器和警示标志标准》标准号：HJ 421-2008 要求的检验报告。</w:t>
      </w:r>
      <w:r>
        <w:rPr>
          <w:rFonts w:hint="eastAsia" w:ascii="Times New Roman" w:hAnsi="Times New Roman" w:eastAsia="仿宋" w:cs="Times New Roman"/>
          <w:b/>
          <w:bCs/>
          <w:snapToGrid/>
          <w:kern w:val="2"/>
          <w:sz w:val="24"/>
          <w:szCs w:val="24"/>
          <w:highlight w:val="none"/>
          <w:lang w:val="en-US" w:eastAsia="zh-CN" w:bidi="ar-SA"/>
        </w:rPr>
        <w:t>（提供承诺函，格式自拟）</w:t>
      </w:r>
    </w:p>
    <w:p w14:paraId="7FB798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仿宋" w:cs="Times New Roman"/>
          <w:snapToGrid/>
          <w:kern w:val="2"/>
          <w:sz w:val="24"/>
          <w:szCs w:val="24"/>
          <w:lang w:val="en-US" w:eastAsia="zh-CN" w:bidi="ar-SA"/>
        </w:rPr>
      </w:pPr>
      <w:r>
        <w:rPr>
          <w:rFonts w:hint="eastAsia" w:ascii="Times New Roman" w:hAnsi="Times New Roman" w:eastAsia="仿宋" w:cs="Times New Roman"/>
          <w:snapToGrid/>
          <w:kern w:val="2"/>
          <w:sz w:val="24"/>
          <w:szCs w:val="24"/>
          <w:lang w:val="en-US" w:eastAsia="zh-CN" w:bidi="ar-SA"/>
        </w:rPr>
        <w:t>2、产品交付要求：纸质利器盒含塑料内胆</w:t>
      </w:r>
      <w:r>
        <w:rPr>
          <w:rFonts w:ascii="Times New Roman" w:hAnsi="Times New Roman" w:eastAsia="仿宋" w:cs="Times New Roman"/>
          <w:snapToGrid/>
          <w:kern w:val="2"/>
          <w:sz w:val="24"/>
          <w:szCs w:val="24"/>
          <w:lang w:val="en-US" w:eastAsia="zh-CN" w:bidi="ar-SA"/>
        </w:rPr>
        <w:t>+塑料袋。</w:t>
      </w:r>
    </w:p>
    <w:p w14:paraId="265C9A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snapToGrid/>
          <w:kern w:val="2"/>
          <w:sz w:val="24"/>
          <w:szCs w:val="24"/>
          <w:lang w:val="en-US" w:eastAsia="zh-CN" w:bidi="ar-SA"/>
        </w:rPr>
      </w:pPr>
      <w:r>
        <w:rPr>
          <w:rFonts w:hint="eastAsia" w:ascii="Times New Roman" w:hAnsi="Times New Roman" w:eastAsia="仿宋" w:cs="Times New Roman"/>
          <w:snapToGrid/>
          <w:kern w:val="2"/>
          <w:sz w:val="24"/>
          <w:szCs w:val="24"/>
          <w:lang w:val="en-US" w:eastAsia="zh-CN" w:bidi="ar-SA"/>
        </w:rPr>
        <w:t>3、产品包装要求：塑料内桶+外盒为纸箱包装，袋子为编织袋包装，其它产品包装以保护货物完整、不受损伤为标准。</w:t>
      </w:r>
    </w:p>
    <w:p w14:paraId="137331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center"/>
        <w:rPr>
          <w:rFonts w:hint="eastAsia" w:ascii="方正仿宋_GB18030" w:hAnsi="方正仿宋_GB18030" w:eastAsia="方正仿宋_GB18030" w:cs="方正仿宋_GB18030"/>
          <w:b/>
          <w:bCs/>
          <w:snapToGrid/>
          <w:color w:val="000000"/>
          <w:kern w:val="2"/>
          <w:sz w:val="24"/>
          <w:szCs w:val="24"/>
          <w:highlight w:val="none"/>
          <w:lang w:val="en-US" w:eastAsia="zh-CN" w:bidi="ar-SA"/>
        </w:rPr>
      </w:pPr>
      <w:r>
        <w:rPr>
          <w:rFonts w:hint="eastAsia" w:ascii="Times New Roman" w:hAnsi="Times New Roman" w:eastAsia="仿宋" w:cs="Times New Roman"/>
          <w:snapToGrid/>
          <w:kern w:val="2"/>
          <w:sz w:val="24"/>
          <w:szCs w:val="24"/>
          <w:lang w:val="en-US" w:eastAsia="zh-CN" w:bidi="ar-SA"/>
        </w:rPr>
        <w:t xml:space="preserve"> </w:t>
      </w:r>
      <w:r>
        <w:rPr>
          <w:rFonts w:hint="eastAsia" w:ascii="方正仿宋_GB18030" w:hAnsi="方正仿宋_GB18030" w:eastAsia="方正仿宋_GB18030" w:cs="方正仿宋_GB18030"/>
          <w:b/>
          <w:bCs/>
          <w:snapToGrid/>
          <w:color w:val="auto"/>
          <w:kern w:val="2"/>
          <w:sz w:val="24"/>
          <w:szCs w:val="24"/>
          <w:highlight w:val="none"/>
          <w:shd w:val="clear" w:color="auto" w:fill="auto"/>
          <w:lang w:val="en-US" w:eastAsia="zh-CN" w:bidi="ar-SA"/>
        </w:rPr>
        <w:t>★</w:t>
      </w:r>
      <w:r>
        <w:rPr>
          <w:rFonts w:hint="eastAsia" w:ascii="方正仿宋_GB18030" w:hAnsi="方正仿宋_GB18030" w:eastAsia="方正仿宋_GB18030" w:cs="方正仿宋_GB18030"/>
          <w:b/>
          <w:snapToGrid/>
          <w:kern w:val="2"/>
          <w:sz w:val="24"/>
          <w:szCs w:val="24"/>
          <w:highlight w:val="none"/>
          <w:lang w:val="en-US" w:eastAsia="zh-CN" w:bidi="ar-SA"/>
        </w:rPr>
        <w:t>（三）商务要求</w:t>
      </w:r>
    </w:p>
    <w:p w14:paraId="7A9693A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b w:val="0"/>
          <w:bCs w:val="0"/>
          <w:snapToGrid/>
          <w:kern w:val="2"/>
          <w:sz w:val="24"/>
          <w:szCs w:val="24"/>
          <w:shd w:val="clear"/>
          <w:lang w:val="en-US" w:eastAsia="zh-CN" w:bidi="ar-SA"/>
        </w:rPr>
      </w:pPr>
      <w:r>
        <w:rPr>
          <w:rFonts w:hint="eastAsia" w:ascii="Times New Roman" w:hAnsi="Times New Roman" w:eastAsia="仿宋" w:cs="Times New Roman"/>
          <w:b w:val="0"/>
          <w:bCs w:val="0"/>
          <w:snapToGrid/>
          <w:kern w:val="2"/>
          <w:sz w:val="24"/>
          <w:szCs w:val="24"/>
          <w:shd w:val="clear"/>
          <w:lang w:val="en-US" w:eastAsia="zh-CN" w:bidi="ar-SA"/>
        </w:rPr>
        <w:t>1、交货期限：</w:t>
      </w:r>
      <w:r>
        <w:rPr>
          <w:rFonts w:hint="eastAsia" w:ascii="Times New Roman" w:hAnsi="Times New Roman" w:eastAsia="仿宋" w:cs="Times New Roman"/>
          <w:snapToGrid/>
          <w:kern w:val="2"/>
          <w:sz w:val="24"/>
          <w:szCs w:val="24"/>
          <w:shd w:val="clear"/>
          <w:lang w:val="en-US" w:eastAsia="zh-CN" w:bidi="ar-SA"/>
        </w:rPr>
        <w:t>自合同签订之日起一年。</w:t>
      </w:r>
      <w:r>
        <w:rPr>
          <w:rFonts w:hint="eastAsia" w:ascii="Times New Roman" w:hAnsi="Times New Roman" w:eastAsia="仿宋" w:cs="Times New Roman"/>
          <w:b w:val="0"/>
          <w:bCs w:val="0"/>
          <w:snapToGrid/>
          <w:kern w:val="2"/>
          <w:sz w:val="24"/>
          <w:szCs w:val="24"/>
          <w:shd w:val="clear"/>
          <w:lang w:val="en-US" w:eastAsia="zh-CN" w:bidi="ar-SA"/>
        </w:rPr>
        <w:t xml:space="preserve"> </w:t>
      </w:r>
    </w:p>
    <w:p w14:paraId="3784AB5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b w:val="0"/>
          <w:bCs w:val="0"/>
          <w:snapToGrid/>
          <w:kern w:val="2"/>
          <w:sz w:val="24"/>
          <w:szCs w:val="24"/>
          <w:shd w:val="clear"/>
          <w:lang w:val="en-US" w:eastAsia="zh-CN" w:bidi="ar-SA"/>
        </w:rPr>
      </w:pPr>
      <w:r>
        <w:rPr>
          <w:rFonts w:hint="eastAsia" w:ascii="Times New Roman" w:hAnsi="Times New Roman" w:eastAsia="仿宋" w:cs="Times New Roman"/>
          <w:b w:val="0"/>
          <w:bCs w:val="0"/>
          <w:snapToGrid/>
          <w:kern w:val="2"/>
          <w:sz w:val="24"/>
          <w:szCs w:val="24"/>
          <w:shd w:val="clear"/>
          <w:lang w:val="en-US" w:eastAsia="zh-CN" w:bidi="ar-SA"/>
        </w:rPr>
        <w:t>2、交货地点：</w:t>
      </w:r>
      <w:r>
        <w:rPr>
          <w:rFonts w:hint="eastAsia" w:ascii="Times New Roman" w:hAnsi="Times New Roman" w:eastAsia="仿宋" w:cs="Times New Roman"/>
          <w:snapToGrid/>
          <w:kern w:val="2"/>
          <w:sz w:val="24"/>
          <w:szCs w:val="24"/>
          <w:shd w:val="clear"/>
          <w:lang w:val="en-US" w:eastAsia="zh-CN" w:bidi="ar-SA"/>
        </w:rPr>
        <w:t>内江市第一人民医院。</w:t>
      </w:r>
    </w:p>
    <w:p w14:paraId="154A8A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b w:val="0"/>
          <w:bCs w:val="0"/>
          <w:snapToGrid/>
          <w:kern w:val="2"/>
          <w:sz w:val="24"/>
          <w:szCs w:val="24"/>
          <w:shd w:val="clear"/>
          <w:lang w:val="en-US" w:eastAsia="zh-CN" w:bidi="ar-SA"/>
        </w:rPr>
      </w:pPr>
      <w:r>
        <w:rPr>
          <w:rFonts w:hint="eastAsia" w:ascii="Times New Roman" w:hAnsi="Times New Roman" w:eastAsia="仿宋" w:cs="Times New Roman"/>
          <w:b w:val="0"/>
          <w:bCs w:val="0"/>
          <w:snapToGrid/>
          <w:kern w:val="2"/>
          <w:sz w:val="24"/>
          <w:szCs w:val="24"/>
          <w:shd w:val="clear"/>
          <w:lang w:val="en-US" w:eastAsia="zh-CN" w:bidi="ar-SA"/>
        </w:rPr>
        <w:t>3、结算及支付方式：</w:t>
      </w:r>
      <w:r>
        <w:rPr>
          <w:rFonts w:hint="eastAsia" w:ascii="Times New Roman" w:hAnsi="Times New Roman" w:eastAsia="仿宋" w:cs="Times New Roman"/>
          <w:snapToGrid/>
          <w:kern w:val="2"/>
          <w:sz w:val="24"/>
          <w:szCs w:val="24"/>
          <w:shd w:val="clear"/>
          <w:lang w:val="en-US" w:eastAsia="zh-CN" w:bidi="ar-SA"/>
        </w:rPr>
        <w:t>按季度据实结算[每季度结算金额=（每季度各产品实际使用数量*各产品成交单价）之和，各产品成交单价=各产品</w:t>
      </w:r>
      <w:r>
        <w:rPr>
          <w:rFonts w:hint="eastAsia" w:ascii="Times New Roman" w:hAnsi="Times New Roman" w:eastAsia="仿宋" w:cs="Times New Roman"/>
          <w:b w:val="0"/>
          <w:bCs w:val="0"/>
          <w:snapToGrid/>
          <w:kern w:val="2"/>
          <w:sz w:val="24"/>
          <w:szCs w:val="24"/>
          <w:lang w:val="en-US" w:eastAsia="zh-CN" w:bidi="ar-SA"/>
        </w:rPr>
        <w:t>单价限价*成交折扣率</w:t>
      </w:r>
      <w:r>
        <w:rPr>
          <w:rFonts w:hint="eastAsia" w:ascii="Times New Roman" w:hAnsi="Times New Roman" w:eastAsia="仿宋" w:cs="Times New Roman"/>
          <w:snapToGrid/>
          <w:kern w:val="2"/>
          <w:sz w:val="24"/>
          <w:szCs w:val="24"/>
          <w:shd w:val="clear"/>
          <w:lang w:val="en-US" w:eastAsia="zh-CN" w:bidi="ar-SA"/>
        </w:rPr>
        <w:t>]。付款前供应商应向采购人提供采购产品的正规发票和有关单据，发票和单据的开具内容符合法律法规规定和采购人的要求，供应商未能按照约定提供正规发票和有关单据的，采购人有权拒绝支付相应款项且不视为采购人违约。</w:t>
      </w:r>
    </w:p>
    <w:p w14:paraId="2741FC2E">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en-US" w:eastAsia="zh-CN" w:bidi="ar-SA"/>
        </w:rPr>
      </w:pPr>
      <w:r>
        <w:rPr>
          <w:rFonts w:hint="eastAsia" w:ascii="Times New Roman" w:hAnsi="Times New Roman" w:eastAsia="仿宋" w:cs="Times New Roman"/>
          <w:snapToGrid/>
          <w:kern w:val="2"/>
          <w:sz w:val="24"/>
          <w:szCs w:val="24"/>
          <w:shd w:val="clear"/>
          <w:lang w:val="en-US" w:eastAsia="zh-CN" w:bidi="ar-SA"/>
        </w:rPr>
        <w:t>4、报价要求：本项目进行统一折扣率报价。0%＜供应商所报的折扣率≤100%。（统一折扣率定义：如果基准价为100元，折扣率是90%，实际支付金额=100×90%，即实际支付金额为90元。）合同履行过程中，成交供应商不得调整折扣率。</w:t>
      </w:r>
    </w:p>
    <w:p w14:paraId="5554AC33">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en-US" w:eastAsia="zh-CN" w:bidi="ar-SA"/>
        </w:rPr>
      </w:pPr>
      <w:r>
        <w:rPr>
          <w:rFonts w:hint="eastAsia" w:ascii="Times New Roman" w:hAnsi="Times New Roman" w:eastAsia="仿宋" w:cs="Times New Roman"/>
          <w:snapToGrid/>
          <w:kern w:val="2"/>
          <w:sz w:val="24"/>
          <w:szCs w:val="24"/>
          <w:shd w:val="clear"/>
          <w:lang w:val="en-US" w:eastAsia="zh-CN" w:bidi="ar-SA"/>
        </w:rPr>
        <w:t>5、供应商的报价为完成本项目的含税包干价，包含但不限于：产品、人工、差旅费、保险</w:t>
      </w:r>
      <w:r>
        <w:rPr>
          <w:rFonts w:hint="eastAsia" w:ascii="Times New Roman" w:hAnsi="Times New Roman" w:eastAsia="仿宋" w:cs="Times New Roman"/>
          <w:snapToGrid/>
          <w:kern w:val="2"/>
          <w:sz w:val="24"/>
          <w:szCs w:val="24"/>
          <w:lang w:val="en-US" w:eastAsia="zh-CN" w:bidi="zh-CN"/>
        </w:rPr>
        <w:t>费</w:t>
      </w:r>
      <w:r>
        <w:rPr>
          <w:rFonts w:hint="eastAsia" w:ascii="Times New Roman" w:hAnsi="Times New Roman" w:eastAsia="仿宋" w:cs="Times New Roman"/>
          <w:snapToGrid/>
          <w:kern w:val="2"/>
          <w:sz w:val="24"/>
          <w:szCs w:val="24"/>
          <w:shd w:val="clear"/>
          <w:lang w:val="en-US" w:eastAsia="zh-CN" w:bidi="ar-SA"/>
        </w:rPr>
        <w:t>、运输</w:t>
      </w:r>
      <w:r>
        <w:rPr>
          <w:rFonts w:hint="eastAsia" w:ascii="Times New Roman" w:hAnsi="Times New Roman" w:eastAsia="仿宋" w:cs="Times New Roman"/>
          <w:snapToGrid/>
          <w:kern w:val="2"/>
          <w:sz w:val="24"/>
          <w:szCs w:val="24"/>
          <w:lang w:val="en-US" w:eastAsia="zh-CN" w:bidi="zh-CN"/>
        </w:rPr>
        <w:t>费</w:t>
      </w:r>
      <w:r>
        <w:rPr>
          <w:rFonts w:hint="eastAsia" w:ascii="Times New Roman" w:hAnsi="Times New Roman" w:eastAsia="仿宋" w:cs="Times New Roman"/>
          <w:snapToGrid/>
          <w:kern w:val="2"/>
          <w:sz w:val="24"/>
          <w:szCs w:val="24"/>
          <w:shd w:val="clear"/>
          <w:lang w:val="en-US" w:eastAsia="zh-CN" w:bidi="ar-SA"/>
        </w:rPr>
        <w:t>、装卸</w:t>
      </w:r>
      <w:r>
        <w:rPr>
          <w:rFonts w:hint="eastAsia" w:ascii="Times New Roman" w:hAnsi="Times New Roman" w:eastAsia="仿宋" w:cs="Times New Roman"/>
          <w:snapToGrid/>
          <w:kern w:val="2"/>
          <w:sz w:val="24"/>
          <w:szCs w:val="24"/>
          <w:lang w:val="en-US" w:eastAsia="zh-CN" w:bidi="zh-CN"/>
        </w:rPr>
        <w:t>费</w:t>
      </w:r>
      <w:r>
        <w:rPr>
          <w:rFonts w:hint="eastAsia" w:ascii="Times New Roman" w:hAnsi="Times New Roman" w:eastAsia="仿宋" w:cs="Times New Roman"/>
          <w:snapToGrid/>
          <w:kern w:val="2"/>
          <w:sz w:val="24"/>
          <w:szCs w:val="24"/>
          <w:shd w:val="clear"/>
          <w:lang w:val="en-US" w:eastAsia="zh-CN" w:bidi="ar-SA"/>
        </w:rPr>
        <w:t>、税金、利润、代理服务费及不可预见的所有费用以及在合同实施过程中可能发生的其他费用，采购人不再支付除合同金额以外的其他任何费用。</w:t>
      </w:r>
    </w:p>
    <w:p w14:paraId="68E5C03F">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zh-CN" w:eastAsia="zh-CN" w:bidi="ar-SA"/>
        </w:rPr>
      </w:pPr>
      <w:r>
        <w:rPr>
          <w:rFonts w:hint="eastAsia" w:ascii="Times New Roman" w:hAnsi="Times New Roman" w:eastAsia="仿宋" w:cs="Times New Roman"/>
          <w:snapToGrid/>
          <w:kern w:val="2"/>
          <w:sz w:val="24"/>
          <w:szCs w:val="24"/>
          <w:shd w:val="clear"/>
          <w:lang w:val="en-US" w:eastAsia="zh-CN" w:bidi="ar-SA"/>
        </w:rPr>
        <w:t>6</w:t>
      </w:r>
      <w:r>
        <w:rPr>
          <w:rFonts w:hint="eastAsia" w:ascii="Times New Roman" w:hAnsi="Times New Roman" w:eastAsia="仿宋" w:cs="Times New Roman"/>
          <w:snapToGrid/>
          <w:kern w:val="2"/>
          <w:sz w:val="24"/>
          <w:szCs w:val="24"/>
          <w:shd w:val="clear"/>
          <w:lang w:val="zh-CN" w:eastAsia="zh-CN" w:bidi="ar-SA"/>
        </w:rPr>
        <w:t>、售后服务：供应商提供的产品须不少于1年的质保期，质保期内实行质量“三包”。</w:t>
      </w:r>
    </w:p>
    <w:p w14:paraId="45DCB6F4">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en-US" w:eastAsia="zh-CN" w:bidi="ar-SA"/>
        </w:rPr>
      </w:pPr>
      <w:r>
        <w:rPr>
          <w:rFonts w:hint="eastAsia" w:ascii="Times New Roman" w:hAnsi="Times New Roman" w:eastAsia="仿宋" w:cs="Times New Roman"/>
          <w:snapToGrid/>
          <w:kern w:val="2"/>
          <w:sz w:val="24"/>
          <w:szCs w:val="24"/>
          <w:shd w:val="clear"/>
          <w:lang w:val="en-US" w:eastAsia="zh-CN" w:bidi="ar-SA"/>
        </w:rPr>
        <w:t>7</w:t>
      </w:r>
      <w:r>
        <w:rPr>
          <w:rFonts w:hint="eastAsia" w:ascii="Times New Roman" w:hAnsi="Times New Roman" w:eastAsia="仿宋" w:cs="Times New Roman"/>
          <w:snapToGrid/>
          <w:kern w:val="2"/>
          <w:sz w:val="24"/>
          <w:szCs w:val="24"/>
          <w:shd w:val="clear"/>
          <w:lang w:val="zh-CN" w:eastAsia="zh-CN" w:bidi="ar-SA"/>
        </w:rPr>
        <w:t>、本采购项目为分批次供货，不限批次，每次供货数量不定，无论每批次喊货数量多或少，供应商均需保证按时、按需</w:t>
      </w:r>
      <w:r>
        <w:rPr>
          <w:rFonts w:hint="eastAsia" w:ascii="Times New Roman" w:hAnsi="Times New Roman" w:eastAsia="仿宋" w:cs="Times New Roman"/>
          <w:snapToGrid/>
          <w:kern w:val="2"/>
          <w:sz w:val="24"/>
          <w:szCs w:val="24"/>
          <w:shd w:val="clear"/>
          <w:lang w:val="en-US" w:eastAsia="zh-CN" w:bidi="ar-SA"/>
        </w:rPr>
        <w:t>、保质、保量供货至指定地点。</w:t>
      </w:r>
    </w:p>
    <w:p w14:paraId="787D11EB">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zh-CN" w:eastAsia="zh-CN" w:bidi="ar-SA"/>
        </w:rPr>
      </w:pPr>
      <w:r>
        <w:rPr>
          <w:rFonts w:hint="eastAsia" w:ascii="Times New Roman" w:hAnsi="Times New Roman" w:eastAsia="仿宋" w:cs="Times New Roman"/>
          <w:snapToGrid/>
          <w:kern w:val="2"/>
          <w:sz w:val="24"/>
          <w:szCs w:val="24"/>
          <w:shd w:val="clear"/>
          <w:lang w:val="zh-CN" w:eastAsia="zh-CN" w:bidi="ar-SA"/>
        </w:rPr>
        <w:t>8、本项目结算金额达到当年度采购合同总金额后，则当年度合同自动终止。</w:t>
      </w:r>
    </w:p>
    <w:p w14:paraId="57BE5366">
      <w:pPr>
        <w:spacing w:beforeLines="0" w:afterLines="0" w:line="360" w:lineRule="auto"/>
        <w:ind w:firstLine="480" w:firstLineChars="200"/>
        <w:jc w:val="left"/>
        <w:outlineLvl w:val="9"/>
        <w:rPr>
          <w:rFonts w:hint="eastAsia" w:ascii="方正仿宋_GB18030" w:hAnsi="方正仿宋_GB18030" w:eastAsia="方正仿宋_GB18030" w:cs="方正仿宋_GB18030"/>
          <w:sz w:val="24"/>
          <w:szCs w:val="24"/>
          <w:lang w:val="en-US" w:eastAsia="zh-Hans"/>
        </w:rPr>
      </w:pPr>
      <w:r>
        <w:rPr>
          <w:rFonts w:hint="eastAsia" w:ascii="方正仿宋_GB18030" w:hAnsi="方正仿宋_GB18030" w:eastAsia="方正仿宋_GB18030" w:cs="方正仿宋_GB18030"/>
          <w:b/>
          <w:sz w:val="24"/>
          <w:szCs w:val="24"/>
          <w:lang w:val="en-US" w:eastAsia="zh-Hans"/>
        </w:rPr>
        <w:t>★</w:t>
      </w:r>
      <w:r>
        <w:rPr>
          <w:rFonts w:hint="eastAsia" w:ascii="方正仿宋_GB18030" w:hAnsi="方正仿宋_GB18030" w:eastAsia="方正仿宋_GB18030" w:cs="方正仿宋_GB18030"/>
          <w:b/>
          <w:sz w:val="24"/>
          <w:szCs w:val="24"/>
          <w:lang w:val="en-US" w:eastAsia="zh-CN"/>
        </w:rPr>
        <w:t>（五）</w:t>
      </w:r>
      <w:r>
        <w:rPr>
          <w:rFonts w:hint="eastAsia" w:ascii="方正仿宋_GB18030" w:hAnsi="方正仿宋_GB18030" w:eastAsia="方正仿宋_GB18030" w:cs="方正仿宋_GB18030"/>
          <w:b/>
          <w:sz w:val="24"/>
          <w:szCs w:val="24"/>
          <w:lang w:val="en-US" w:eastAsia="zh-Hans"/>
        </w:rPr>
        <w:t>样品评审</w:t>
      </w:r>
    </w:p>
    <w:tbl>
      <w:tblPr>
        <w:tblStyle w:val="3"/>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4520"/>
        <w:gridCol w:w="2980"/>
        <w:gridCol w:w="807"/>
      </w:tblGrid>
      <w:tr w14:paraId="24B0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14:paraId="267D8BFE">
            <w:pPr>
              <w:widowControl w:val="0"/>
              <w:kinsoku/>
              <w:autoSpaceDE/>
              <w:autoSpaceDN/>
              <w:adjustRightInd/>
              <w:snapToGrid/>
              <w:spacing w:beforeLines="0" w:afterLines="0" w:line="360" w:lineRule="auto"/>
              <w:jc w:val="center"/>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t>序号</w:t>
            </w:r>
          </w:p>
        </w:tc>
        <w:tc>
          <w:tcPr>
            <w:tcW w:w="4520" w:type="dxa"/>
          </w:tcPr>
          <w:p w14:paraId="60086F62">
            <w:pPr>
              <w:widowControl w:val="0"/>
              <w:kinsoku/>
              <w:autoSpaceDE/>
              <w:autoSpaceDN/>
              <w:adjustRightInd/>
              <w:snapToGrid/>
              <w:spacing w:beforeLines="0" w:afterLines="0" w:line="360" w:lineRule="auto"/>
              <w:jc w:val="center"/>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t>评审标准</w:t>
            </w:r>
          </w:p>
        </w:tc>
        <w:tc>
          <w:tcPr>
            <w:tcW w:w="2980" w:type="dxa"/>
          </w:tcPr>
          <w:p w14:paraId="6B8373AE">
            <w:pPr>
              <w:widowControl w:val="0"/>
              <w:kinsoku/>
              <w:autoSpaceDE/>
              <w:autoSpaceDN/>
              <w:adjustRightInd/>
              <w:snapToGrid/>
              <w:spacing w:beforeLines="0" w:afterLines="0" w:line="360" w:lineRule="auto"/>
              <w:jc w:val="center"/>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t>评审要求</w:t>
            </w:r>
          </w:p>
        </w:tc>
        <w:tc>
          <w:tcPr>
            <w:tcW w:w="807" w:type="dxa"/>
          </w:tcPr>
          <w:p w14:paraId="575C709C">
            <w:pPr>
              <w:widowControl w:val="0"/>
              <w:kinsoku/>
              <w:autoSpaceDE/>
              <w:autoSpaceDN/>
              <w:adjustRightInd/>
              <w:snapToGrid/>
              <w:spacing w:beforeLines="0" w:afterLines="0" w:line="360" w:lineRule="auto"/>
              <w:jc w:val="center"/>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t>备注</w:t>
            </w:r>
          </w:p>
        </w:tc>
      </w:tr>
      <w:tr w14:paraId="488C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14:paraId="3D0EFD75">
            <w:pPr>
              <w:widowControl w:val="0"/>
              <w:kinsoku/>
              <w:autoSpaceDE/>
              <w:autoSpaceDN/>
              <w:adjustRightInd/>
              <w:snapToGrid/>
              <w:spacing w:beforeLines="0" w:afterLines="0" w:line="360" w:lineRule="auto"/>
              <w:jc w:val="center"/>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Times New Roman" w:hAnsi="Times New Roman" w:eastAsia="仿宋" w:cs="Times New Roman"/>
                <w:snapToGrid/>
                <w:kern w:val="2"/>
                <w:sz w:val="24"/>
                <w:szCs w:val="24"/>
                <w:highlight w:val="none"/>
                <w:lang w:val="en-US" w:eastAsia="zh-CN" w:bidi="ar-SA"/>
              </w:rPr>
              <w:t>1</w:t>
            </w:r>
          </w:p>
        </w:tc>
        <w:tc>
          <w:tcPr>
            <w:tcW w:w="4520" w:type="dxa"/>
          </w:tcPr>
          <w:p w14:paraId="0D948B7C">
            <w:pPr>
              <w:widowControl w:val="0"/>
              <w:kinsoku/>
              <w:autoSpaceDE/>
              <w:autoSpaceDN/>
              <w:adjustRightInd/>
              <w:snapToGrid/>
              <w:spacing w:beforeLines="0" w:afterLines="0" w:line="360" w:lineRule="auto"/>
              <w:ind w:firstLine="480" w:firstLineChars="200"/>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Times New Roman" w:hAnsi="Times New Roman" w:eastAsia="仿宋" w:cs="Times New Roman"/>
                <w:snapToGrid/>
                <w:kern w:val="2"/>
                <w:sz w:val="24"/>
                <w:szCs w:val="24"/>
                <w:highlight w:val="none"/>
                <w:lang w:val="en-US" w:eastAsia="zh-CN" w:bidi="ar-SA"/>
              </w:rPr>
              <w:t>利器盒整体为硬质材料制成，封闭且防刺穿，保证在正常情况下，利器盒内盛装物不撒漏，并且利器盒一旦被封口，在不破坏的情况下无法被再次打开。</w:t>
            </w:r>
          </w:p>
        </w:tc>
        <w:tc>
          <w:tcPr>
            <w:tcW w:w="2980" w:type="dxa"/>
            <w:vMerge w:val="restart"/>
          </w:tcPr>
          <w:p w14:paraId="19A58486">
            <w:pPr>
              <w:widowControl w:val="0"/>
              <w:kinsoku/>
              <w:autoSpaceDE/>
              <w:autoSpaceDN/>
              <w:adjustRightInd/>
              <w:snapToGrid/>
              <w:spacing w:beforeLines="0" w:afterLines="0" w:line="360" w:lineRule="auto"/>
              <w:ind w:firstLine="480" w:firstLineChars="200"/>
              <w:jc w:val="left"/>
              <w:textAlignment w:val="auto"/>
              <w:rPr>
                <w:rFonts w:hint="eastAsia" w:ascii="Times New Roman" w:hAnsi="Times New Roman" w:eastAsia="仿宋" w:cs="Times New Roman"/>
                <w:snapToGrid/>
                <w:kern w:val="2"/>
                <w:sz w:val="24"/>
                <w:szCs w:val="24"/>
                <w:highlight w:val="none"/>
                <w:lang w:val="en-US" w:eastAsia="zh-CN" w:bidi="ar-SA"/>
              </w:rPr>
            </w:pPr>
            <w:r>
              <w:rPr>
                <w:rFonts w:hint="eastAsia" w:ascii="Times New Roman" w:hAnsi="Times New Roman" w:eastAsia="仿宋" w:cs="Times New Roman"/>
                <w:snapToGrid/>
                <w:kern w:val="2"/>
                <w:sz w:val="24"/>
                <w:szCs w:val="24"/>
                <w:highlight w:val="none"/>
                <w:lang w:val="en-US" w:eastAsia="zh-CN" w:bidi="ar-SA"/>
              </w:rPr>
              <w:t>1.供应商需针对每个标的分别提供一个满足竞选的样品（共三个样品）到现场，提供的样品需遮住生产厂家、地址、联系电话，其他保留。</w:t>
            </w:r>
          </w:p>
          <w:p w14:paraId="632896C4">
            <w:pPr>
              <w:widowControl w:val="0"/>
              <w:kinsoku/>
              <w:autoSpaceDE/>
              <w:autoSpaceDN/>
              <w:adjustRightInd/>
              <w:snapToGrid/>
              <w:spacing w:beforeLines="0" w:afterLines="0" w:line="360" w:lineRule="auto"/>
              <w:ind w:firstLine="480" w:firstLineChars="200"/>
              <w:jc w:val="left"/>
              <w:textAlignment w:val="auto"/>
              <w:rPr>
                <w:rFonts w:hint="eastAsia" w:ascii="Times New Roman" w:hAnsi="Times New Roman" w:eastAsia="仿宋" w:cs="Times New Roman"/>
                <w:snapToGrid/>
                <w:kern w:val="2"/>
                <w:sz w:val="24"/>
                <w:szCs w:val="24"/>
                <w:highlight w:val="none"/>
                <w:lang w:val="en-US" w:eastAsia="zh-CN" w:bidi="ar-SA"/>
              </w:rPr>
            </w:pPr>
            <w:r>
              <w:rPr>
                <w:rFonts w:hint="eastAsia" w:ascii="Times New Roman" w:hAnsi="Times New Roman" w:eastAsia="仿宋" w:cs="Times New Roman"/>
                <w:snapToGrid/>
                <w:kern w:val="2"/>
                <w:sz w:val="24"/>
                <w:szCs w:val="24"/>
                <w:highlight w:val="none"/>
                <w:lang w:val="en-US" w:eastAsia="zh-CN" w:bidi="ar-SA"/>
              </w:rPr>
              <w:t>2.评审时将对供应商提供的三种产品进行测试，不符合产品规格型号及产品达不到采购人使用要求的，视为符合性不通过。</w:t>
            </w:r>
          </w:p>
          <w:p w14:paraId="169FFA63">
            <w:pPr>
              <w:widowControl w:val="0"/>
              <w:kinsoku/>
              <w:autoSpaceDE/>
              <w:autoSpaceDN/>
              <w:adjustRightInd/>
              <w:snapToGrid/>
              <w:spacing w:beforeLines="0" w:afterLines="0" w:line="360" w:lineRule="auto"/>
              <w:ind w:firstLine="480" w:firstLineChars="200"/>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Times New Roman" w:hAnsi="Times New Roman" w:eastAsia="仿宋" w:cs="Times New Roman"/>
                <w:snapToGrid/>
                <w:kern w:val="2"/>
                <w:sz w:val="24"/>
                <w:szCs w:val="24"/>
                <w:highlight w:val="none"/>
                <w:lang w:val="en-US" w:eastAsia="zh-CN" w:bidi="ar-SA"/>
              </w:rPr>
              <w:t>3.成交供应商的提供的样品不予退还，做为验收时的依据。</w:t>
            </w:r>
          </w:p>
        </w:tc>
        <w:tc>
          <w:tcPr>
            <w:tcW w:w="807" w:type="dxa"/>
            <w:vMerge w:val="restart"/>
          </w:tcPr>
          <w:p w14:paraId="6A6F04FF">
            <w:pPr>
              <w:widowControl w:val="0"/>
              <w:kinsoku/>
              <w:autoSpaceDE/>
              <w:autoSpaceDN/>
              <w:adjustRightInd/>
              <w:snapToGrid/>
              <w:spacing w:beforeLines="0" w:afterLines="0" w:line="360" w:lineRule="auto"/>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p>
        </w:tc>
      </w:tr>
      <w:tr w14:paraId="07EC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14:paraId="29A2AF10">
            <w:pPr>
              <w:widowControl w:val="0"/>
              <w:kinsoku/>
              <w:autoSpaceDE/>
              <w:autoSpaceDN/>
              <w:adjustRightInd/>
              <w:snapToGrid/>
              <w:spacing w:beforeLines="0" w:afterLines="0" w:line="360" w:lineRule="auto"/>
              <w:jc w:val="center"/>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Times New Roman" w:hAnsi="Times New Roman" w:eastAsia="仿宋" w:cs="Times New Roman"/>
                <w:snapToGrid/>
                <w:kern w:val="2"/>
                <w:sz w:val="24"/>
                <w:szCs w:val="24"/>
                <w:highlight w:val="none"/>
                <w:lang w:val="en-US" w:eastAsia="zh-CN" w:bidi="ar-SA"/>
              </w:rPr>
              <w:t>2</w:t>
            </w:r>
          </w:p>
        </w:tc>
        <w:tc>
          <w:tcPr>
            <w:tcW w:w="4520" w:type="dxa"/>
          </w:tcPr>
          <w:p w14:paraId="3AC751A0">
            <w:pPr>
              <w:widowControl w:val="0"/>
              <w:kinsoku/>
              <w:autoSpaceDE/>
              <w:autoSpaceDN/>
              <w:adjustRightInd/>
              <w:snapToGrid/>
              <w:spacing w:beforeLines="0" w:afterLines="0" w:line="360" w:lineRule="auto"/>
              <w:ind w:firstLine="480" w:firstLineChars="200"/>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Times New Roman" w:hAnsi="Times New Roman" w:eastAsia="仿宋" w:cs="Times New Roman"/>
                <w:snapToGrid/>
                <w:kern w:val="2"/>
                <w:sz w:val="24"/>
                <w:szCs w:val="24"/>
                <w:highlight w:val="none"/>
                <w:lang w:val="en-US" w:eastAsia="zh-CN" w:bidi="ar-SA"/>
              </w:rPr>
              <w:t>利器盒整体颜色为淡黄，颜色应符合 GB/T 3181 中 Y06 的要求，利器盒侧面明显处应印制下图所示的警示标志，警告语为“警告！损伤性废物”。</w:t>
            </w:r>
            <w:r>
              <w:rPr>
                <w:rFonts w:ascii="Times New Roman" w:hAnsi="Times New Roman" w:eastAsia="宋体" w:cs="Times New Roman"/>
                <w:snapToGrid/>
                <w:kern w:val="2"/>
                <w:sz w:val="21"/>
                <w:szCs w:val="24"/>
                <w:lang w:val="en-US" w:eastAsia="zh-CN" w:bidi="ar-SA"/>
              </w:rPr>
              <w:drawing>
                <wp:inline distT="0" distB="0" distL="114300" distR="114300">
                  <wp:extent cx="1967865" cy="787400"/>
                  <wp:effectExtent l="0" t="0" r="13335"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1967865" cy="787400"/>
                          </a:xfrm>
                          <a:prstGeom prst="rect">
                            <a:avLst/>
                          </a:prstGeom>
                          <a:noFill/>
                          <a:ln>
                            <a:noFill/>
                          </a:ln>
                        </pic:spPr>
                      </pic:pic>
                    </a:graphicData>
                  </a:graphic>
                </wp:inline>
              </w:drawing>
            </w:r>
          </w:p>
        </w:tc>
        <w:tc>
          <w:tcPr>
            <w:tcW w:w="2980" w:type="dxa"/>
            <w:vMerge w:val="continue"/>
          </w:tcPr>
          <w:p w14:paraId="7D5B7050">
            <w:pPr>
              <w:widowControl w:val="0"/>
              <w:kinsoku/>
              <w:autoSpaceDE/>
              <w:autoSpaceDN/>
              <w:adjustRightInd/>
              <w:snapToGrid/>
              <w:spacing w:beforeLines="0" w:afterLines="0" w:line="360" w:lineRule="auto"/>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p>
        </w:tc>
        <w:tc>
          <w:tcPr>
            <w:tcW w:w="807" w:type="dxa"/>
            <w:vMerge w:val="continue"/>
          </w:tcPr>
          <w:p w14:paraId="0500354C">
            <w:pPr>
              <w:widowControl w:val="0"/>
              <w:kinsoku/>
              <w:autoSpaceDE/>
              <w:autoSpaceDN/>
              <w:adjustRightInd/>
              <w:snapToGrid/>
              <w:spacing w:beforeLines="0" w:afterLines="0" w:line="360" w:lineRule="auto"/>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p>
        </w:tc>
      </w:tr>
      <w:tr w14:paraId="1FED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14:paraId="7CA7C27E">
            <w:pPr>
              <w:widowControl w:val="0"/>
              <w:kinsoku/>
              <w:autoSpaceDE/>
              <w:autoSpaceDN/>
              <w:adjustRightInd/>
              <w:snapToGrid/>
              <w:spacing w:beforeLines="0" w:afterLines="0" w:line="360" w:lineRule="auto"/>
              <w:jc w:val="center"/>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Times New Roman" w:hAnsi="Times New Roman" w:eastAsia="仿宋" w:cs="Times New Roman"/>
                <w:snapToGrid/>
                <w:kern w:val="2"/>
                <w:sz w:val="24"/>
                <w:szCs w:val="24"/>
                <w:highlight w:val="none"/>
                <w:lang w:val="en-US" w:eastAsia="zh-CN" w:bidi="ar-SA"/>
              </w:rPr>
              <w:t>3</w:t>
            </w:r>
          </w:p>
        </w:tc>
        <w:tc>
          <w:tcPr>
            <w:tcW w:w="4520" w:type="dxa"/>
          </w:tcPr>
          <w:p w14:paraId="5750F6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r>
              <w:rPr>
                <w:rFonts w:hint="eastAsia" w:ascii="Times New Roman" w:hAnsi="Times New Roman" w:eastAsia="仿宋" w:cs="Times New Roman"/>
                <w:snapToGrid/>
                <w:kern w:val="2"/>
                <w:sz w:val="24"/>
                <w:szCs w:val="24"/>
                <w:highlight w:val="none"/>
                <w:lang w:val="en-US" w:eastAsia="zh-CN" w:bidi="ar-SA"/>
              </w:rPr>
              <w:t>满盛装量的利器盒从 1.2m 高处自由跌落至水泥地面，连续3次，不会出现破裂、被刺穿等情况。</w:t>
            </w:r>
          </w:p>
        </w:tc>
        <w:tc>
          <w:tcPr>
            <w:tcW w:w="2980" w:type="dxa"/>
            <w:vMerge w:val="continue"/>
          </w:tcPr>
          <w:p w14:paraId="460AC538">
            <w:pPr>
              <w:widowControl w:val="0"/>
              <w:kinsoku/>
              <w:autoSpaceDE/>
              <w:autoSpaceDN/>
              <w:adjustRightInd/>
              <w:snapToGrid/>
              <w:spacing w:beforeLines="0" w:afterLines="0" w:line="360" w:lineRule="auto"/>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p>
        </w:tc>
        <w:tc>
          <w:tcPr>
            <w:tcW w:w="807" w:type="dxa"/>
            <w:vMerge w:val="continue"/>
          </w:tcPr>
          <w:p w14:paraId="6B7536AF">
            <w:pPr>
              <w:widowControl w:val="0"/>
              <w:kinsoku/>
              <w:autoSpaceDE/>
              <w:autoSpaceDN/>
              <w:adjustRightInd/>
              <w:snapToGrid/>
              <w:spacing w:beforeLines="0" w:afterLines="0" w:line="360" w:lineRule="auto"/>
              <w:jc w:val="left"/>
              <w:textAlignment w:val="auto"/>
              <w:rPr>
                <w:rFonts w:hint="eastAsia" w:ascii="方正仿宋_GB18030" w:hAnsi="方正仿宋_GB18030" w:eastAsia="方正仿宋_GB18030" w:cs="方正仿宋_GB18030"/>
                <w:b/>
                <w:bCs/>
                <w:snapToGrid/>
                <w:color w:val="C00000"/>
                <w:kern w:val="2"/>
                <w:sz w:val="28"/>
                <w:szCs w:val="28"/>
                <w:highlight w:val="none"/>
                <w:vertAlign w:val="baseline"/>
                <w:lang w:val="en-US" w:eastAsia="zh-CN" w:bidi="ar-SA"/>
              </w:rPr>
            </w:pPr>
          </w:p>
        </w:tc>
      </w:tr>
    </w:tbl>
    <w:p w14:paraId="311903A7">
      <w:pPr>
        <w:keepNext w:val="0"/>
        <w:keepLines w:val="0"/>
        <w:pageBreakBefore w:val="0"/>
        <w:kinsoku/>
        <w:wordWrap/>
        <w:overflowPunct/>
        <w:topLinePunct w:val="0"/>
        <w:autoSpaceDE/>
        <w:autoSpaceDN/>
        <w:bidi w:val="0"/>
        <w:adjustRightInd/>
        <w:snapToGrid/>
        <w:spacing w:line="360" w:lineRule="auto"/>
        <w:ind w:firstLine="480" w:firstLineChars="200"/>
        <w:jc w:val="left"/>
        <w:outlineLvl w:val="9"/>
        <w:rPr>
          <w:rFonts w:hint="eastAsia" w:ascii="方正仿宋_GB18030" w:hAnsi="方正仿宋_GB18030" w:eastAsia="方正仿宋_GB18030" w:cs="方正仿宋_GB18030"/>
          <w:sz w:val="24"/>
          <w:szCs w:val="24"/>
          <w:highlight w:val="none"/>
          <w:lang w:val="en-US" w:eastAsia="zh-Hans"/>
        </w:rPr>
      </w:pPr>
      <w:r>
        <w:rPr>
          <w:rFonts w:hint="eastAsia" w:ascii="方正仿宋_GB18030" w:hAnsi="方正仿宋_GB18030" w:eastAsia="方正仿宋_GB18030" w:cs="方正仿宋_GB18030"/>
          <w:b/>
          <w:bCs/>
          <w:kern w:val="0"/>
          <w:sz w:val="24"/>
          <w:szCs w:val="24"/>
          <w:highlight w:val="none"/>
          <w:lang w:val="en-US" w:eastAsia="zh-CN"/>
        </w:rPr>
        <w:t>★</w:t>
      </w:r>
      <w:r>
        <w:rPr>
          <w:rFonts w:hint="eastAsia" w:ascii="方正仿宋_GB18030" w:hAnsi="方正仿宋_GB18030" w:eastAsia="方正仿宋_GB18030" w:cs="方正仿宋_GB18030"/>
          <w:b/>
          <w:sz w:val="24"/>
          <w:szCs w:val="24"/>
          <w:highlight w:val="none"/>
          <w:lang w:val="en-US" w:eastAsia="zh-CN"/>
        </w:rPr>
        <w:t>（六）</w:t>
      </w:r>
      <w:r>
        <w:rPr>
          <w:rFonts w:hint="eastAsia" w:ascii="方正仿宋_GB18030" w:hAnsi="方正仿宋_GB18030" w:eastAsia="方正仿宋_GB18030" w:cs="方正仿宋_GB18030"/>
          <w:b/>
          <w:sz w:val="24"/>
          <w:szCs w:val="24"/>
          <w:highlight w:val="none"/>
          <w:lang w:val="en-US" w:eastAsia="zh-Hans"/>
        </w:rPr>
        <w:t>违约责任与解决争议的方法</w:t>
      </w:r>
    </w:p>
    <w:p w14:paraId="6053C01E">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en-US" w:eastAsia="zh-CN" w:bidi="ar-SA"/>
        </w:rPr>
      </w:pPr>
      <w:r>
        <w:rPr>
          <w:rFonts w:hint="eastAsia" w:ascii="Times New Roman" w:hAnsi="Times New Roman" w:eastAsia="仿宋" w:cs="Times New Roman"/>
          <w:snapToGrid/>
          <w:kern w:val="2"/>
          <w:sz w:val="24"/>
          <w:szCs w:val="24"/>
          <w:shd w:val="clear"/>
          <w:lang w:val="en-US" w:eastAsia="zh-CN" w:bidi="ar-SA"/>
        </w:rPr>
        <w:t>1、违约责任：</w:t>
      </w:r>
    </w:p>
    <w:p w14:paraId="6ED83966">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en-US" w:eastAsia="zh-CN" w:bidi="ar-SA"/>
        </w:rPr>
      </w:pPr>
      <w:r>
        <w:rPr>
          <w:rFonts w:hint="eastAsia" w:ascii="Times New Roman" w:hAnsi="Times New Roman" w:eastAsia="仿宋" w:cs="Times New Roman"/>
          <w:snapToGrid/>
          <w:kern w:val="2"/>
          <w:sz w:val="24"/>
          <w:szCs w:val="24"/>
          <w:shd w:val="clear"/>
          <w:lang w:val="en-US" w:eastAsia="zh-CN" w:bidi="ar-SA"/>
        </w:rPr>
        <w:t>1.1.供应商所提供的产品的生产厂家、品种、规格型号、数量不符合采购人要求的，采购人有权拒绝收货。</w:t>
      </w:r>
    </w:p>
    <w:p w14:paraId="36749A0B">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en-US" w:eastAsia="zh-CN" w:bidi="ar-SA"/>
        </w:rPr>
      </w:pPr>
      <w:r>
        <w:rPr>
          <w:rFonts w:hint="eastAsia" w:ascii="Times New Roman" w:hAnsi="Times New Roman" w:eastAsia="仿宋" w:cs="Times New Roman"/>
          <w:snapToGrid/>
          <w:kern w:val="2"/>
          <w:sz w:val="24"/>
          <w:szCs w:val="24"/>
          <w:shd w:val="clear"/>
          <w:lang w:val="en-US" w:eastAsia="zh-CN" w:bidi="ar-SA"/>
        </w:rPr>
        <w:t>1.2.若因供应商的产品存在质量问题或缺陷造成采购人或第三人人身损害、财产损失的，由供应商承担全部赔偿责任。</w:t>
      </w:r>
    </w:p>
    <w:p w14:paraId="61A611BC">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仿宋" w:cs="Times New Roman"/>
          <w:snapToGrid/>
          <w:kern w:val="2"/>
          <w:sz w:val="24"/>
          <w:szCs w:val="24"/>
          <w:shd w:val="clear"/>
          <w:lang w:val="en-US" w:eastAsia="zh-CN" w:bidi="ar-SA"/>
        </w:rPr>
      </w:pPr>
      <w:r>
        <w:rPr>
          <w:rFonts w:hint="eastAsia" w:ascii="Times New Roman" w:hAnsi="Times New Roman" w:eastAsia="仿宋" w:cs="Times New Roman"/>
          <w:snapToGrid/>
          <w:kern w:val="2"/>
          <w:sz w:val="24"/>
          <w:szCs w:val="24"/>
          <w:shd w:val="clear"/>
          <w:lang w:val="en-US" w:eastAsia="zh-CN" w:bidi="ar-SA"/>
        </w:rPr>
        <w:t>2、解决争议的方法：在执行本项目中发生的或与本项目有关的争端，双方应通过友好协商解决，经协商在30天内不能达成协议时，可向采购人住所地人民法院提起诉讼解决争议。</w:t>
      </w:r>
    </w:p>
    <w:p w14:paraId="002765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center"/>
        <w:rPr>
          <w:rFonts w:hint="eastAsia" w:ascii="方正仿宋_GB18030" w:hAnsi="方正仿宋_GB18030" w:eastAsia="方正仿宋_GB18030" w:cs="方正仿宋_GB18030"/>
          <w:b/>
          <w:bCs/>
          <w:snapToGrid/>
          <w:kern w:val="0"/>
          <w:sz w:val="24"/>
          <w:szCs w:val="24"/>
          <w:highlight w:val="none"/>
          <w:lang w:val="en-US" w:eastAsia="zh-CN" w:bidi="ar-SA"/>
        </w:rPr>
      </w:pPr>
      <w:r>
        <w:rPr>
          <w:rFonts w:hint="eastAsia" w:ascii="方正仿宋_GB18030" w:hAnsi="方正仿宋_GB18030" w:eastAsia="方正仿宋_GB18030" w:cs="方正仿宋_GB18030"/>
          <w:b/>
          <w:bCs/>
          <w:snapToGrid/>
          <w:kern w:val="0"/>
          <w:sz w:val="24"/>
          <w:szCs w:val="24"/>
          <w:highlight w:val="none"/>
          <w:lang w:val="en-US" w:eastAsia="zh-CN" w:bidi="ar-SA"/>
        </w:rPr>
        <w:t>注：标注“★”的条款为本项目的实质性条款，供应商不满足的，将按照无效响应处理。</w:t>
      </w:r>
    </w:p>
    <w:p w14:paraId="32B6BC05">
      <w:r>
        <w:rPr>
          <w:rFonts w:hint="eastAsia" w:ascii="方正仿宋_GB18030" w:hAnsi="方正仿宋_GB18030" w:eastAsia="方正仿宋_GB18030" w:cs="方正仿宋_GB18030"/>
          <w:sz w:val="24"/>
          <w:szCs w:val="24"/>
          <w:highlight w:val="none"/>
          <w:lang w:val="en-US" w:eastAsia="zh-Hans"/>
        </w:rPr>
        <w:br w:type="textWrapping"/>
      </w:r>
    </w:p>
    <w:sectPr>
      <w:pgSz w:w="11850" w:h="16783"/>
      <w:pgMar w:top="1417" w:right="1417" w:bottom="1417" w:left="1417" w:header="1644" w:footer="992" w:gutter="0"/>
      <w:pgNumType w:fmt="decimal" w:start="1"/>
      <w:cols w:space="0" w:num="1"/>
      <w:rtlGutter w:val="0"/>
      <w:docGrid w:type="linesAndChars" w:linePitch="46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18030">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gutterAtTop/>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4A3E1F"/>
    <w:rsid w:val="063053A6"/>
    <w:rsid w:val="3B4A3E1F"/>
    <w:rsid w:val="488B6342"/>
    <w:rsid w:val="70D7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方正仿宋_GB18030" w:cs="Arial"/>
      <w:snapToGrid w:val="0"/>
      <w:color w:val="000000"/>
      <w:kern w:val="0"/>
      <w:sz w:val="28"/>
      <w:szCs w:val="21"/>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2025-04-14T08:31:00Z</dcterms:created>
  <dc:creator>SJ</dc:creator>
  <cp:lastModifiedBy>SJ</cp:lastModifiedBy>
  <dcterms:modified xsi:type="dcterms:W3CDTF">2025-04-14T08:31:34Z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0CFB850F789B4EE28422E0DB541C24FF_11</vt:lpwstr>
  </property>
  <property fmtid="{D5CDD505-2E9C-101B-9397-08002B2CF9AE}" pid="4" name="KSOTemplateDocerSaveRecord">
    <vt:lpwstr>eyJoZGlkIjoiNDQ0ZGEzNDA1Mzk1NGMxNTM2OGY4YzIyNzI3YTljNDMiLCJ1c2VySWQiOiIyNTYwMTc2MTQifQ==</vt:lpwstr>
  </property>
</Properties>
</file>