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F5BD29">
      <w:pPr>
        <w:pStyle w:val="8"/>
        <w:jc w:val="center"/>
        <w:outlineLvl w:val="0"/>
        <w:rPr>
          <w:rFonts w:hint="eastAsia" w:ascii="仿宋" w:hAnsi="仿宋" w:eastAsia="仿宋" w:cs="仿宋"/>
        </w:rPr>
      </w:pPr>
      <w:bookmarkStart w:id="1" w:name="_GoBack"/>
      <w:bookmarkEnd w:id="1"/>
      <w:bookmarkStart w:id="0" w:name="_Toc27801"/>
      <w:r>
        <w:rPr>
          <w:rFonts w:hint="eastAsia" w:ascii="仿宋" w:hAnsi="仿宋" w:eastAsia="仿宋" w:cs="仿宋"/>
          <w:b/>
          <w:sz w:val="36"/>
        </w:rPr>
        <w:t>第三章 技术、服务及其他要求</w:t>
      </w:r>
      <w:bookmarkEnd w:id="0"/>
    </w:p>
    <w:p w14:paraId="34AEB7D7">
      <w:pPr>
        <w:pStyle w:val="8"/>
        <w:ind w:firstLine="480"/>
        <w:rPr>
          <w:rFonts w:hint="eastAsia" w:ascii="仿宋" w:hAnsi="仿宋" w:eastAsia="仿宋" w:cs="仿宋"/>
        </w:rPr>
      </w:pPr>
      <w:r>
        <w:rPr>
          <w:rFonts w:hint="eastAsia" w:ascii="仿宋" w:hAnsi="仿宋" w:eastAsia="仿宋" w:cs="仿宋"/>
        </w:rPr>
        <w:t>（注：本章的技术、服务及其他要求中，带“★”的要求为实质性要求。</w:t>
      </w:r>
      <w:r>
        <w:rPr>
          <w:rFonts w:hint="eastAsia" w:ascii="仿宋" w:hAnsi="仿宋" w:eastAsia="仿宋" w:cs="仿宋"/>
          <w:lang w:eastAsia="zh-CN"/>
        </w:rPr>
        <w:t>采购人</w:t>
      </w:r>
      <w:r>
        <w:rPr>
          <w:rFonts w:hint="eastAsia" w:ascii="仿宋" w:hAnsi="仿宋" w:eastAsia="仿宋" w:cs="仿宋"/>
        </w:rPr>
        <w:t>、代理机构应当根据项目实际要求合理设定，并在第五章符合性审查中明确响应要求。）</w:t>
      </w:r>
    </w:p>
    <w:p w14:paraId="787DBED7">
      <w:pPr>
        <w:pStyle w:val="8"/>
        <w:outlineLvl w:val="1"/>
        <w:rPr>
          <w:rFonts w:hint="eastAsia" w:ascii="仿宋" w:hAnsi="仿宋" w:eastAsia="仿宋" w:cs="仿宋"/>
          <w:b/>
          <w:sz w:val="24"/>
          <w:szCs w:val="24"/>
          <w:lang w:eastAsia="zh-CN"/>
        </w:rPr>
      </w:pPr>
      <w:r>
        <w:rPr>
          <w:rFonts w:hint="eastAsia" w:ascii="仿宋" w:hAnsi="仿宋" w:eastAsia="仿宋" w:cs="仿宋"/>
          <w:b/>
          <w:sz w:val="28"/>
        </w:rPr>
        <w:t>3.1.</w:t>
      </w:r>
      <w:r>
        <w:rPr>
          <w:rFonts w:hint="eastAsia" w:ascii="仿宋" w:hAnsi="仿宋" w:eastAsia="仿宋" w:cs="仿宋"/>
          <w:b/>
          <w:sz w:val="28"/>
          <w:lang w:eastAsia="zh-CN"/>
        </w:rPr>
        <w:t>标的情况</w:t>
      </w:r>
    </w:p>
    <w:p w14:paraId="6CD4AE2E">
      <w:pPr>
        <w:pStyle w:val="8"/>
        <w:ind w:firstLine="480"/>
        <w:jc w:val="both"/>
        <w:rPr>
          <w:rFonts w:hint="eastAsia" w:ascii="仿宋" w:hAnsi="仿宋" w:eastAsia="仿宋" w:cs="仿宋"/>
          <w:b/>
          <w:sz w:val="24"/>
          <w:szCs w:val="24"/>
          <w:lang w:eastAsia="zh-CN"/>
        </w:rPr>
      </w:pPr>
      <w:r>
        <w:rPr>
          <w:rFonts w:hint="eastAsia" w:ascii="仿宋" w:hAnsi="仿宋" w:eastAsia="仿宋" w:cs="仿宋"/>
          <w:b/>
          <w:sz w:val="24"/>
          <w:szCs w:val="24"/>
          <w:lang w:eastAsia="zh-CN"/>
        </w:rPr>
        <w:t>采购包2：</w:t>
      </w:r>
    </w:p>
    <w:p w14:paraId="1F50B166">
      <w:pPr>
        <w:pStyle w:val="8"/>
        <w:ind w:firstLine="480"/>
        <w:jc w:val="both"/>
        <w:rPr>
          <w:rFonts w:hint="eastAsia" w:ascii="仿宋" w:hAnsi="仿宋" w:eastAsia="仿宋" w:cs="仿宋"/>
          <w:b/>
          <w:sz w:val="24"/>
          <w:szCs w:val="24"/>
          <w:lang w:eastAsia="zh-CN"/>
        </w:rPr>
      </w:pPr>
      <w:r>
        <w:rPr>
          <w:rFonts w:hint="eastAsia" w:ascii="仿宋" w:hAnsi="仿宋" w:eastAsia="仿宋" w:cs="仿宋"/>
        </w:rPr>
        <w:t>★</w:t>
      </w:r>
      <w:r>
        <w:rPr>
          <w:rFonts w:hint="eastAsia" w:ascii="仿宋" w:hAnsi="仿宋" w:eastAsia="仿宋" w:cs="仿宋"/>
          <w:lang w:val="en-US" w:eastAsia="zh-CN"/>
        </w:rPr>
        <w:t>本项目提供的产品，必须为“四川省药品和医用耗材招采管理系统”中已挂网产品（不含正在挂网和备案的产品）</w:t>
      </w:r>
    </w:p>
    <w:tbl>
      <w:tblPr>
        <w:tblStyle w:val="5"/>
        <w:tblW w:w="8557" w:type="dxa"/>
        <w:tblInd w:w="0" w:type="dxa"/>
        <w:tblLayout w:type="fixed"/>
        <w:tblCellMar>
          <w:top w:w="0" w:type="dxa"/>
          <w:left w:w="0" w:type="dxa"/>
          <w:bottom w:w="0" w:type="dxa"/>
          <w:right w:w="0" w:type="dxa"/>
        </w:tblCellMar>
      </w:tblPr>
      <w:tblGrid>
        <w:gridCol w:w="1404"/>
        <w:gridCol w:w="1651"/>
        <w:gridCol w:w="1467"/>
        <w:gridCol w:w="1187"/>
        <w:gridCol w:w="1197"/>
        <w:gridCol w:w="1651"/>
      </w:tblGrid>
      <w:tr w14:paraId="00D1E6C2">
        <w:tblPrEx>
          <w:tblCellMar>
            <w:top w:w="0" w:type="dxa"/>
            <w:left w:w="0" w:type="dxa"/>
            <w:bottom w:w="0" w:type="dxa"/>
            <w:right w:w="0" w:type="dxa"/>
          </w:tblCellMar>
        </w:tblPrEx>
        <w:trPr>
          <w:trHeight w:val="904" w:hRule="atLeast"/>
        </w:trPr>
        <w:tc>
          <w:tcPr>
            <w:tcW w:w="1404"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2463817">
            <w:pPr>
              <w:spacing w:line="400" w:lineRule="exact"/>
              <w:jc w:val="center"/>
              <w:rPr>
                <w:rFonts w:hint="eastAsia" w:ascii="仿宋" w:hAnsi="仿宋" w:eastAsia="仿宋" w:cs="仿宋"/>
                <w:b/>
                <w:bCs/>
                <w:sz w:val="18"/>
                <w:szCs w:val="18"/>
              </w:rPr>
            </w:pPr>
            <w:r>
              <w:rPr>
                <w:rFonts w:hint="eastAsia" w:ascii="仿宋" w:hAnsi="仿宋" w:eastAsia="仿宋" w:cs="仿宋"/>
                <w:b/>
                <w:bCs/>
                <w:sz w:val="18"/>
                <w:szCs w:val="18"/>
              </w:rPr>
              <w:t>编号</w:t>
            </w:r>
          </w:p>
        </w:tc>
        <w:tc>
          <w:tcPr>
            <w:tcW w:w="1651"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EEEE668">
            <w:pPr>
              <w:spacing w:line="400" w:lineRule="exact"/>
              <w:jc w:val="center"/>
              <w:rPr>
                <w:rFonts w:hint="eastAsia" w:ascii="仿宋" w:hAnsi="仿宋" w:eastAsia="仿宋" w:cs="仿宋"/>
                <w:b/>
                <w:bCs/>
                <w:sz w:val="18"/>
                <w:szCs w:val="18"/>
                <w:lang w:val="en-US" w:eastAsia="zh-CN"/>
              </w:rPr>
            </w:pPr>
            <w:r>
              <w:rPr>
                <w:rFonts w:hint="eastAsia" w:ascii="仿宋" w:hAnsi="仿宋" w:eastAsia="仿宋" w:cs="仿宋"/>
                <w:b/>
                <w:bCs/>
                <w:sz w:val="18"/>
                <w:szCs w:val="18"/>
                <w:lang w:val="en-US" w:eastAsia="zh-CN"/>
              </w:rPr>
              <w:t>标的名称</w:t>
            </w:r>
          </w:p>
        </w:tc>
        <w:tc>
          <w:tcPr>
            <w:tcW w:w="1467"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3A5A217">
            <w:pPr>
              <w:spacing w:line="400" w:lineRule="exact"/>
              <w:jc w:val="center"/>
              <w:rPr>
                <w:rFonts w:hint="eastAsia" w:ascii="仿宋" w:hAnsi="仿宋" w:eastAsia="仿宋" w:cs="仿宋"/>
                <w:b/>
                <w:bCs/>
                <w:sz w:val="18"/>
                <w:szCs w:val="18"/>
                <w:lang w:val="en-US" w:eastAsia="zh-CN"/>
              </w:rPr>
            </w:pPr>
            <w:r>
              <w:rPr>
                <w:rFonts w:hint="eastAsia" w:ascii="仿宋" w:hAnsi="仿宋" w:eastAsia="仿宋" w:cs="仿宋"/>
                <w:b/>
                <w:bCs/>
                <w:sz w:val="18"/>
                <w:szCs w:val="18"/>
                <w:lang w:val="en-US" w:eastAsia="zh-CN"/>
              </w:rPr>
              <w:t>★单价限价（元）</w:t>
            </w:r>
          </w:p>
        </w:tc>
        <w:tc>
          <w:tcPr>
            <w:tcW w:w="1187"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EF3920E">
            <w:pPr>
              <w:spacing w:line="400" w:lineRule="exact"/>
              <w:jc w:val="center"/>
              <w:rPr>
                <w:rFonts w:hint="eastAsia" w:ascii="仿宋" w:hAnsi="仿宋" w:eastAsia="仿宋" w:cs="仿宋"/>
                <w:b/>
                <w:bCs/>
                <w:sz w:val="18"/>
                <w:szCs w:val="18"/>
                <w:lang w:val="en-US" w:eastAsia="zh-CN"/>
              </w:rPr>
            </w:pPr>
            <w:r>
              <w:rPr>
                <w:rFonts w:hint="eastAsia" w:ascii="仿宋" w:hAnsi="仿宋" w:eastAsia="仿宋" w:cs="仿宋"/>
                <w:b/>
                <w:bCs/>
                <w:sz w:val="18"/>
                <w:szCs w:val="18"/>
                <w:lang w:val="en-US" w:eastAsia="zh-CN"/>
              </w:rPr>
              <w:t>预计数量</w:t>
            </w:r>
          </w:p>
        </w:tc>
        <w:tc>
          <w:tcPr>
            <w:tcW w:w="1197"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5C187B3">
            <w:pPr>
              <w:spacing w:line="400" w:lineRule="exact"/>
              <w:jc w:val="center"/>
              <w:rPr>
                <w:rFonts w:hint="eastAsia" w:ascii="仿宋" w:hAnsi="仿宋" w:eastAsia="仿宋" w:cs="仿宋"/>
                <w:b/>
                <w:bCs/>
                <w:sz w:val="18"/>
                <w:szCs w:val="18"/>
                <w:lang w:val="en-US" w:eastAsia="zh-CN"/>
              </w:rPr>
            </w:pPr>
            <w:r>
              <w:rPr>
                <w:rFonts w:hint="eastAsia" w:ascii="仿宋" w:hAnsi="仿宋" w:eastAsia="仿宋" w:cs="仿宋"/>
                <w:b/>
                <w:bCs/>
                <w:sz w:val="18"/>
                <w:szCs w:val="18"/>
                <w:lang w:val="en-US" w:eastAsia="zh-CN"/>
              </w:rPr>
              <w:t>★计量单位</w:t>
            </w:r>
          </w:p>
        </w:tc>
        <w:tc>
          <w:tcPr>
            <w:tcW w:w="1651"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291F43C">
            <w:pPr>
              <w:spacing w:line="400" w:lineRule="exact"/>
              <w:jc w:val="center"/>
              <w:rPr>
                <w:rFonts w:hint="eastAsia" w:ascii="仿宋" w:hAnsi="仿宋" w:eastAsia="仿宋" w:cs="仿宋"/>
                <w:b/>
                <w:bCs/>
                <w:sz w:val="18"/>
                <w:szCs w:val="18"/>
                <w:lang w:val="en-US" w:eastAsia="zh-CN"/>
              </w:rPr>
            </w:pPr>
            <w:r>
              <w:rPr>
                <w:rFonts w:hint="eastAsia" w:ascii="仿宋" w:hAnsi="仿宋" w:eastAsia="仿宋" w:cs="仿宋"/>
                <w:b/>
                <w:bCs/>
                <w:sz w:val="18"/>
                <w:szCs w:val="18"/>
                <w:lang w:val="en-US" w:eastAsia="zh-CN"/>
              </w:rPr>
              <w:t>预算金额/最高限价（每年）（元）</w:t>
            </w:r>
          </w:p>
        </w:tc>
      </w:tr>
      <w:tr w14:paraId="3784AC28">
        <w:tblPrEx>
          <w:tblCellMar>
            <w:top w:w="0" w:type="dxa"/>
            <w:left w:w="0" w:type="dxa"/>
            <w:bottom w:w="0" w:type="dxa"/>
            <w:right w:w="0" w:type="dxa"/>
          </w:tblCellMar>
        </w:tblPrEx>
        <w:trPr>
          <w:trHeight w:val="721" w:hRule="atLeast"/>
        </w:trPr>
        <w:tc>
          <w:tcPr>
            <w:tcW w:w="1404"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0D7C353E">
            <w:pPr>
              <w:spacing w:line="400" w:lineRule="exact"/>
              <w:jc w:val="center"/>
              <w:rPr>
                <w:rFonts w:hint="eastAsia" w:ascii="仿宋" w:hAnsi="仿宋" w:eastAsia="仿宋" w:cs="仿宋"/>
                <w:b/>
                <w:bCs/>
                <w:sz w:val="24"/>
                <w:szCs w:val="24"/>
              </w:rPr>
            </w:pPr>
            <w:r>
              <w:rPr>
                <w:rFonts w:hint="eastAsia" w:ascii="仿宋" w:hAnsi="仿宋" w:eastAsia="仿宋" w:cs="仿宋"/>
                <w:b/>
                <w:bCs/>
                <w:sz w:val="24"/>
                <w:szCs w:val="24"/>
              </w:rPr>
              <w:t>2-1</w:t>
            </w:r>
          </w:p>
        </w:tc>
        <w:tc>
          <w:tcPr>
            <w:tcW w:w="1651"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21D2DBA1">
            <w:pPr>
              <w:widowControl/>
              <w:jc w:val="center"/>
              <w:textAlignment w:val="center"/>
              <w:rPr>
                <w:rFonts w:hint="eastAsia" w:ascii="仿宋" w:hAnsi="仿宋" w:eastAsia="仿宋" w:cs="仿宋"/>
                <w:b/>
                <w:bCs/>
                <w:sz w:val="24"/>
                <w:szCs w:val="24"/>
              </w:rPr>
            </w:pPr>
            <w:r>
              <w:rPr>
                <w:rFonts w:hint="eastAsia" w:ascii="仿宋" w:hAnsi="仿宋" w:eastAsia="仿宋" w:cs="仿宋"/>
                <w:color w:val="000000"/>
                <w:kern w:val="0"/>
                <w:sz w:val="24"/>
                <w:szCs w:val="24"/>
                <w:lang w:bidi="ar"/>
              </w:rPr>
              <w:t>人工乳房植入体</w:t>
            </w:r>
          </w:p>
        </w:tc>
        <w:tc>
          <w:tcPr>
            <w:tcW w:w="1467"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1F79E730">
            <w:pPr>
              <w:widowControl/>
              <w:jc w:val="center"/>
              <w:textAlignment w:val="center"/>
              <w:rPr>
                <w:rFonts w:hint="eastAsia" w:ascii="仿宋" w:hAnsi="仿宋" w:eastAsia="仿宋" w:cs="仿宋"/>
                <w:b/>
                <w:bCs/>
                <w:sz w:val="24"/>
                <w:szCs w:val="24"/>
              </w:rPr>
            </w:pPr>
            <w:r>
              <w:rPr>
                <w:rFonts w:hint="eastAsia" w:ascii="仿宋" w:hAnsi="仿宋" w:eastAsia="仿宋" w:cs="仿宋"/>
                <w:color w:val="000000"/>
                <w:kern w:val="0"/>
                <w:sz w:val="24"/>
                <w:szCs w:val="24"/>
                <w:lang w:bidi="ar"/>
              </w:rPr>
              <w:t>15800</w:t>
            </w:r>
          </w:p>
        </w:tc>
        <w:tc>
          <w:tcPr>
            <w:tcW w:w="1187"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52BC96DA">
            <w:pPr>
              <w:widowControl/>
              <w:jc w:val="center"/>
              <w:textAlignment w:val="center"/>
              <w:rPr>
                <w:rFonts w:hint="eastAsia" w:ascii="仿宋" w:hAnsi="仿宋" w:eastAsia="仿宋" w:cs="仿宋"/>
                <w:b/>
                <w:bCs/>
                <w:sz w:val="24"/>
                <w:szCs w:val="24"/>
              </w:rPr>
            </w:pPr>
            <w:r>
              <w:rPr>
                <w:rFonts w:hint="eastAsia" w:ascii="仿宋" w:hAnsi="仿宋" w:eastAsia="仿宋" w:cs="仿宋"/>
                <w:color w:val="000000"/>
                <w:kern w:val="0"/>
                <w:sz w:val="24"/>
                <w:szCs w:val="24"/>
                <w:lang w:bidi="ar"/>
              </w:rPr>
              <w:t>40</w:t>
            </w:r>
          </w:p>
        </w:tc>
        <w:tc>
          <w:tcPr>
            <w:tcW w:w="1197"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4AD57C9E">
            <w:pPr>
              <w:widowControl/>
              <w:jc w:val="center"/>
              <w:textAlignment w:val="center"/>
              <w:rPr>
                <w:rFonts w:hint="eastAsia" w:ascii="仿宋" w:hAnsi="仿宋" w:eastAsia="仿宋" w:cs="仿宋"/>
                <w:b/>
                <w:bCs/>
                <w:sz w:val="24"/>
                <w:szCs w:val="24"/>
              </w:rPr>
            </w:pPr>
            <w:r>
              <w:rPr>
                <w:rFonts w:hint="eastAsia" w:ascii="仿宋" w:hAnsi="仿宋" w:eastAsia="仿宋" w:cs="仿宋"/>
                <w:color w:val="000000"/>
                <w:kern w:val="0"/>
                <w:sz w:val="24"/>
                <w:szCs w:val="24"/>
                <w:lang w:bidi="ar"/>
              </w:rPr>
              <w:t>个</w:t>
            </w:r>
          </w:p>
        </w:tc>
        <w:tc>
          <w:tcPr>
            <w:tcW w:w="1651"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4924DF26">
            <w:pPr>
              <w:widowControl/>
              <w:jc w:val="center"/>
              <w:textAlignment w:val="center"/>
              <w:rPr>
                <w:rFonts w:hint="eastAsia" w:ascii="仿宋" w:hAnsi="仿宋" w:eastAsia="仿宋" w:cs="仿宋"/>
                <w:b/>
                <w:bCs/>
                <w:sz w:val="24"/>
                <w:szCs w:val="24"/>
              </w:rPr>
            </w:pPr>
            <w:r>
              <w:rPr>
                <w:rFonts w:hint="eastAsia" w:ascii="仿宋" w:hAnsi="仿宋" w:eastAsia="仿宋" w:cs="仿宋"/>
                <w:color w:val="000000"/>
                <w:kern w:val="0"/>
                <w:sz w:val="24"/>
                <w:szCs w:val="24"/>
                <w:lang w:bidi="ar"/>
              </w:rPr>
              <w:t>632000</w:t>
            </w:r>
          </w:p>
        </w:tc>
      </w:tr>
      <w:tr w14:paraId="110A997F">
        <w:tblPrEx>
          <w:tblCellMar>
            <w:top w:w="0" w:type="dxa"/>
            <w:left w:w="0" w:type="dxa"/>
            <w:bottom w:w="0" w:type="dxa"/>
            <w:right w:w="0" w:type="dxa"/>
          </w:tblCellMar>
        </w:tblPrEx>
        <w:trPr>
          <w:trHeight w:val="472" w:hRule="atLeast"/>
        </w:trPr>
        <w:tc>
          <w:tcPr>
            <w:tcW w:w="1404"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268DB11C">
            <w:pPr>
              <w:spacing w:line="400" w:lineRule="exact"/>
              <w:jc w:val="center"/>
              <w:rPr>
                <w:rFonts w:hint="eastAsia" w:ascii="仿宋" w:hAnsi="仿宋" w:eastAsia="仿宋" w:cs="仿宋"/>
                <w:b/>
                <w:bCs/>
                <w:sz w:val="24"/>
                <w:szCs w:val="24"/>
              </w:rPr>
            </w:pPr>
            <w:r>
              <w:rPr>
                <w:rFonts w:hint="eastAsia" w:ascii="仿宋" w:hAnsi="仿宋" w:eastAsia="仿宋" w:cs="仿宋"/>
                <w:b/>
                <w:bCs/>
                <w:sz w:val="24"/>
                <w:szCs w:val="24"/>
              </w:rPr>
              <w:t>2-2</w:t>
            </w:r>
          </w:p>
        </w:tc>
        <w:tc>
          <w:tcPr>
            <w:tcW w:w="1651"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75E59F5E">
            <w:pPr>
              <w:widowControl/>
              <w:jc w:val="center"/>
              <w:textAlignment w:val="center"/>
              <w:rPr>
                <w:rFonts w:hint="eastAsia" w:ascii="仿宋" w:hAnsi="仿宋" w:eastAsia="仿宋" w:cs="仿宋"/>
                <w:b/>
                <w:bCs/>
                <w:sz w:val="24"/>
                <w:szCs w:val="24"/>
              </w:rPr>
            </w:pPr>
            <w:r>
              <w:rPr>
                <w:rFonts w:hint="eastAsia" w:ascii="仿宋" w:hAnsi="仿宋" w:eastAsia="仿宋" w:cs="仿宋"/>
                <w:color w:val="000000"/>
                <w:kern w:val="0"/>
                <w:sz w:val="24"/>
                <w:szCs w:val="24"/>
                <w:lang w:bidi="ar"/>
              </w:rPr>
              <w:t>人工乳房植入体</w:t>
            </w:r>
          </w:p>
        </w:tc>
        <w:tc>
          <w:tcPr>
            <w:tcW w:w="1467"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54F9CCFE">
            <w:pPr>
              <w:widowControl/>
              <w:jc w:val="center"/>
              <w:textAlignment w:val="center"/>
              <w:rPr>
                <w:rFonts w:hint="eastAsia" w:ascii="仿宋" w:hAnsi="仿宋" w:eastAsia="仿宋" w:cs="仿宋"/>
                <w:b/>
                <w:bCs/>
                <w:sz w:val="24"/>
                <w:szCs w:val="24"/>
              </w:rPr>
            </w:pPr>
            <w:r>
              <w:rPr>
                <w:rFonts w:hint="eastAsia" w:ascii="仿宋" w:hAnsi="仿宋" w:eastAsia="仿宋" w:cs="仿宋"/>
                <w:color w:val="000000"/>
                <w:kern w:val="0"/>
                <w:sz w:val="24"/>
                <w:szCs w:val="24"/>
                <w:lang w:bidi="ar"/>
              </w:rPr>
              <w:t>8800</w:t>
            </w:r>
          </w:p>
        </w:tc>
        <w:tc>
          <w:tcPr>
            <w:tcW w:w="1187"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1CD7C882">
            <w:pPr>
              <w:widowControl/>
              <w:jc w:val="center"/>
              <w:textAlignment w:val="center"/>
              <w:rPr>
                <w:rFonts w:hint="eastAsia" w:ascii="仿宋" w:hAnsi="仿宋" w:eastAsia="仿宋" w:cs="仿宋"/>
                <w:b/>
                <w:bCs/>
                <w:sz w:val="24"/>
                <w:szCs w:val="24"/>
              </w:rPr>
            </w:pPr>
            <w:r>
              <w:rPr>
                <w:rFonts w:hint="eastAsia" w:ascii="仿宋" w:hAnsi="仿宋" w:eastAsia="仿宋" w:cs="仿宋"/>
                <w:color w:val="000000"/>
                <w:kern w:val="0"/>
                <w:sz w:val="24"/>
                <w:szCs w:val="24"/>
                <w:lang w:bidi="ar"/>
              </w:rPr>
              <w:t>40</w:t>
            </w:r>
          </w:p>
        </w:tc>
        <w:tc>
          <w:tcPr>
            <w:tcW w:w="1197"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69C5805C">
            <w:pPr>
              <w:widowControl/>
              <w:jc w:val="center"/>
              <w:textAlignment w:val="center"/>
              <w:rPr>
                <w:rFonts w:hint="eastAsia" w:ascii="仿宋" w:hAnsi="仿宋" w:eastAsia="仿宋" w:cs="仿宋"/>
                <w:b/>
                <w:bCs/>
                <w:sz w:val="24"/>
                <w:szCs w:val="24"/>
              </w:rPr>
            </w:pPr>
            <w:r>
              <w:rPr>
                <w:rFonts w:hint="eastAsia" w:ascii="仿宋" w:hAnsi="仿宋" w:eastAsia="仿宋" w:cs="仿宋"/>
                <w:color w:val="000000"/>
                <w:kern w:val="0"/>
                <w:sz w:val="24"/>
                <w:szCs w:val="24"/>
                <w:lang w:bidi="ar"/>
              </w:rPr>
              <w:t>个</w:t>
            </w:r>
          </w:p>
        </w:tc>
        <w:tc>
          <w:tcPr>
            <w:tcW w:w="1651"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04DB63F5">
            <w:pPr>
              <w:widowControl/>
              <w:jc w:val="center"/>
              <w:textAlignment w:val="center"/>
              <w:rPr>
                <w:rFonts w:hint="eastAsia" w:ascii="仿宋" w:hAnsi="仿宋" w:eastAsia="仿宋" w:cs="仿宋"/>
                <w:b/>
                <w:bCs/>
                <w:sz w:val="24"/>
                <w:szCs w:val="24"/>
              </w:rPr>
            </w:pPr>
            <w:r>
              <w:rPr>
                <w:rFonts w:hint="eastAsia" w:ascii="仿宋" w:hAnsi="仿宋" w:eastAsia="仿宋" w:cs="仿宋"/>
                <w:color w:val="000000"/>
                <w:kern w:val="0"/>
                <w:sz w:val="24"/>
                <w:szCs w:val="24"/>
                <w:lang w:bidi="ar"/>
              </w:rPr>
              <w:t>352000</w:t>
            </w:r>
          </w:p>
        </w:tc>
      </w:tr>
    </w:tbl>
    <w:p w14:paraId="2E3EFA59">
      <w:pPr>
        <w:pStyle w:val="8"/>
        <w:ind w:firstLine="480"/>
        <w:rPr>
          <w:rFonts w:hint="eastAsia" w:ascii="仿宋" w:hAnsi="仿宋" w:eastAsia="仿宋" w:cs="仿宋"/>
          <w:lang w:eastAsia="zh-CN"/>
        </w:rPr>
      </w:pPr>
    </w:p>
    <w:p w14:paraId="26C8A475">
      <w:pPr>
        <w:pStyle w:val="8"/>
        <w:ind w:firstLine="480"/>
        <w:jc w:val="left"/>
        <w:rPr>
          <w:rFonts w:hint="eastAsia" w:ascii="仿宋" w:hAnsi="仿宋" w:eastAsia="仿宋" w:cs="仿宋"/>
          <w:b/>
          <w:sz w:val="28"/>
        </w:rPr>
      </w:pPr>
      <w:r>
        <w:rPr>
          <w:rFonts w:hint="eastAsia" w:ascii="仿宋" w:hAnsi="仿宋" w:eastAsia="仿宋" w:cs="仿宋"/>
        </w:rPr>
        <w:t>★注：</w:t>
      </w:r>
      <w:r>
        <w:rPr>
          <w:rFonts w:hint="eastAsia" w:ascii="仿宋" w:hAnsi="仿宋" w:eastAsia="仿宋" w:cs="仿宋"/>
          <w:lang w:eastAsia="zh-CN"/>
        </w:rPr>
        <w:t>竞选人</w:t>
      </w:r>
      <w:r>
        <w:rPr>
          <w:rFonts w:hint="eastAsia" w:ascii="仿宋" w:hAnsi="仿宋" w:eastAsia="仿宋" w:cs="仿宋"/>
        </w:rPr>
        <w:t>响应产品应当明确品牌和规格型号并指向唯一产品，不能指向唯一产品的，应通过报价表唯一产品说明栏补充说明。</w:t>
      </w:r>
    </w:p>
    <w:p w14:paraId="3DBAF4D3">
      <w:pPr>
        <w:pStyle w:val="8"/>
        <w:outlineLvl w:val="1"/>
        <w:rPr>
          <w:rFonts w:hint="eastAsia" w:ascii="仿宋" w:hAnsi="仿宋" w:eastAsia="仿宋" w:cs="仿宋"/>
          <w:lang w:eastAsia="zh-CN"/>
        </w:rPr>
      </w:pPr>
      <w:r>
        <w:rPr>
          <w:rFonts w:hint="eastAsia" w:ascii="仿宋" w:hAnsi="仿宋" w:eastAsia="仿宋" w:cs="仿宋"/>
          <w:b/>
          <w:sz w:val="28"/>
        </w:rPr>
        <w:t>3.2.技术要求</w:t>
      </w:r>
    </w:p>
    <w:p w14:paraId="5B8C94AE">
      <w:pPr>
        <w:spacing w:line="400" w:lineRule="exact"/>
        <w:rPr>
          <w:rFonts w:hint="eastAsia" w:ascii="仿宋" w:hAnsi="仿宋" w:eastAsia="仿宋" w:cs="仿宋"/>
          <w:sz w:val="24"/>
        </w:rPr>
      </w:pPr>
      <w:r>
        <w:rPr>
          <w:rFonts w:hint="eastAsia" w:ascii="仿宋" w:hAnsi="仿宋" w:eastAsia="仿宋" w:cs="仿宋"/>
          <w:sz w:val="24"/>
        </w:rPr>
        <w:t>须知：1.本部分标注“★”的条款为本项目的实质性条款，投标人不满足的，将按照无效投标处理；标注“▲”的为重要条款，得分占比相较一般条款更高；未标注条款为一般条款。</w:t>
      </w:r>
    </w:p>
    <w:p w14:paraId="7F6A48A2">
      <w:pPr>
        <w:spacing w:line="400" w:lineRule="exact"/>
        <w:rPr>
          <w:rFonts w:hint="eastAsia" w:ascii="仿宋" w:hAnsi="仿宋" w:eastAsia="仿宋" w:cs="仿宋"/>
          <w:b/>
          <w:bCs/>
          <w:sz w:val="24"/>
        </w:rPr>
      </w:pPr>
      <w:r>
        <w:rPr>
          <w:rFonts w:hint="eastAsia" w:ascii="仿宋" w:hAnsi="仿宋" w:eastAsia="仿宋" w:cs="仿宋"/>
          <w:sz w:val="24"/>
        </w:rPr>
        <w:t>2.技术要求条款均为条目式，参数设置请客观明确，参与评分的指标应当是采购需求中的量化指标，评分项应当按照量化指标的等次，设置对应的不同分值。不能完全确定客观指标，需由供应商提供设计方案、解决方案或者组织方案的采购项目，</w:t>
      </w:r>
      <w:r>
        <w:rPr>
          <w:rFonts w:hint="eastAsia" w:ascii="仿宋" w:hAnsi="仿宋" w:eastAsia="仿宋" w:cs="仿宋"/>
          <w:b/>
          <w:bCs/>
          <w:sz w:val="24"/>
        </w:rPr>
        <w:t xml:space="preserve"> </w:t>
      </w:r>
    </w:p>
    <w:p w14:paraId="35AF5930">
      <w:pPr>
        <w:keepNext w:val="0"/>
        <w:keepLines w:val="0"/>
        <w:pageBreakBefore w:val="0"/>
        <w:widowControl w:val="0"/>
        <w:numPr>
          <w:ilvl w:val="0"/>
          <w:numId w:val="0"/>
        </w:numPr>
        <w:kinsoku/>
        <w:wordWrap/>
        <w:overflowPunct/>
        <w:topLinePunct w:val="0"/>
        <w:autoSpaceDE/>
        <w:autoSpaceDN/>
        <w:bidi w:val="0"/>
        <w:adjustRightInd/>
        <w:spacing w:line="240" w:lineRule="auto"/>
        <w:jc w:val="both"/>
        <w:rPr>
          <w:rFonts w:hint="eastAsia" w:ascii="仿宋" w:hAnsi="仿宋" w:eastAsia="仿宋" w:cs="仿宋"/>
          <w:b/>
          <w:bCs/>
          <w:sz w:val="24"/>
        </w:rPr>
      </w:pPr>
      <w:r>
        <w:rPr>
          <w:rFonts w:hint="eastAsia" w:ascii="仿宋" w:hAnsi="仿宋" w:eastAsia="仿宋" w:cs="仿宋"/>
          <w:b/>
          <w:bCs/>
          <w:sz w:val="24"/>
          <w:lang w:val="en-US" w:eastAsia="zh-CN"/>
        </w:rPr>
        <w:t>一、</w:t>
      </w:r>
      <w:r>
        <w:rPr>
          <w:rFonts w:hint="eastAsia" w:ascii="仿宋" w:hAnsi="仿宋" w:eastAsia="仿宋" w:cs="仿宋"/>
          <w:b/>
          <w:bCs/>
          <w:sz w:val="24"/>
        </w:rPr>
        <w:t>包二：</w:t>
      </w:r>
    </w:p>
    <w:tbl>
      <w:tblPr>
        <w:tblStyle w:val="5"/>
        <w:tblW w:w="8603"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75"/>
        <w:gridCol w:w="851"/>
        <w:gridCol w:w="1276"/>
        <w:gridCol w:w="1275"/>
        <w:gridCol w:w="3482"/>
        <w:gridCol w:w="1044"/>
      </w:tblGrid>
      <w:tr w14:paraId="34B426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8" w:hRule="atLeast"/>
        </w:trPr>
        <w:tc>
          <w:tcPr>
            <w:tcW w:w="675" w:type="dxa"/>
            <w:vAlign w:val="center"/>
          </w:tcPr>
          <w:p w14:paraId="3E13FF83">
            <w:pPr>
              <w:spacing w:line="400" w:lineRule="exact"/>
              <w:jc w:val="center"/>
              <w:rPr>
                <w:rFonts w:ascii="仿宋" w:hAnsi="仿宋" w:eastAsia="仿宋" w:cs="仿宋"/>
                <w:kern w:val="0"/>
                <w:sz w:val="20"/>
                <w:szCs w:val="20"/>
              </w:rPr>
            </w:pPr>
            <w:r>
              <w:rPr>
                <w:rFonts w:hint="eastAsia" w:ascii="仿宋" w:hAnsi="仿宋" w:eastAsia="仿宋" w:cs="仿宋"/>
                <w:kern w:val="0"/>
                <w:sz w:val="20"/>
                <w:szCs w:val="20"/>
              </w:rPr>
              <w:t>序号</w:t>
            </w:r>
          </w:p>
        </w:tc>
        <w:tc>
          <w:tcPr>
            <w:tcW w:w="851" w:type="dxa"/>
            <w:vAlign w:val="center"/>
          </w:tcPr>
          <w:p w14:paraId="0D86CA93">
            <w:pPr>
              <w:spacing w:line="400" w:lineRule="exact"/>
              <w:jc w:val="center"/>
              <w:rPr>
                <w:rFonts w:ascii="仿宋" w:hAnsi="仿宋" w:eastAsia="仿宋" w:cs="仿宋"/>
                <w:kern w:val="0"/>
                <w:sz w:val="20"/>
                <w:szCs w:val="20"/>
              </w:rPr>
            </w:pPr>
            <w:r>
              <w:rPr>
                <w:rFonts w:hint="eastAsia" w:ascii="仿宋" w:hAnsi="仿宋" w:eastAsia="仿宋" w:cs="仿宋"/>
                <w:kern w:val="0"/>
                <w:sz w:val="20"/>
                <w:szCs w:val="20"/>
              </w:rPr>
              <w:t>名称</w:t>
            </w:r>
          </w:p>
        </w:tc>
        <w:tc>
          <w:tcPr>
            <w:tcW w:w="1276" w:type="dxa"/>
            <w:vAlign w:val="center"/>
          </w:tcPr>
          <w:p w14:paraId="257B00D8">
            <w:pPr>
              <w:spacing w:line="400" w:lineRule="exact"/>
              <w:jc w:val="center"/>
              <w:rPr>
                <w:rFonts w:ascii="仿宋" w:hAnsi="仿宋" w:eastAsia="仿宋" w:cs="仿宋"/>
                <w:kern w:val="0"/>
                <w:sz w:val="20"/>
                <w:szCs w:val="20"/>
              </w:rPr>
            </w:pPr>
            <w:r>
              <w:rPr>
                <w:rFonts w:hint="eastAsia" w:ascii="仿宋" w:hAnsi="仿宋" w:eastAsia="仿宋" w:cs="仿宋"/>
                <w:kern w:val="0"/>
                <w:sz w:val="20"/>
                <w:szCs w:val="20"/>
              </w:rPr>
              <w:t>★</w:t>
            </w:r>
            <w:r>
              <w:rPr>
                <w:rFonts w:hint="eastAsia" w:ascii="仿宋" w:hAnsi="仿宋" w:eastAsia="仿宋" w:cs="仿宋"/>
                <w:kern w:val="0"/>
                <w:sz w:val="18"/>
                <w:szCs w:val="18"/>
              </w:rPr>
              <w:t>医保耗材代码</w:t>
            </w:r>
            <w:r>
              <w:rPr>
                <w:rFonts w:hint="eastAsia" w:ascii="仿宋" w:hAnsi="仿宋" w:eastAsia="仿宋" w:cs="仿宋"/>
                <w:b/>
                <w:bCs/>
                <w:sz w:val="18"/>
                <w:szCs w:val="18"/>
              </w:rPr>
              <w:t>（前9位）</w:t>
            </w:r>
          </w:p>
        </w:tc>
        <w:tc>
          <w:tcPr>
            <w:tcW w:w="1275" w:type="dxa"/>
            <w:vAlign w:val="center"/>
          </w:tcPr>
          <w:p w14:paraId="695AABE0">
            <w:pPr>
              <w:spacing w:line="400" w:lineRule="exact"/>
              <w:jc w:val="center"/>
              <w:rPr>
                <w:rFonts w:ascii="仿宋" w:hAnsi="仿宋" w:eastAsia="仿宋" w:cs="仿宋"/>
                <w:kern w:val="0"/>
                <w:sz w:val="20"/>
                <w:szCs w:val="20"/>
              </w:rPr>
            </w:pPr>
            <w:r>
              <w:rPr>
                <w:rFonts w:hint="eastAsia" w:ascii="仿宋" w:hAnsi="仿宋" w:eastAsia="仿宋" w:cs="仿宋"/>
                <w:kern w:val="0"/>
                <w:sz w:val="20"/>
                <w:szCs w:val="20"/>
              </w:rPr>
              <w:t>★用途</w:t>
            </w:r>
            <w:r>
              <w:rPr>
                <w:rFonts w:hint="eastAsia" w:ascii="仿宋" w:hAnsi="仿宋" w:eastAsia="仿宋" w:cs="仿宋"/>
                <w:kern w:val="0"/>
                <w:sz w:val="20"/>
                <w:szCs w:val="20"/>
                <w:lang w:val="en-US" w:eastAsia="zh-CN"/>
              </w:rPr>
              <w:t>/适应症</w:t>
            </w:r>
          </w:p>
        </w:tc>
        <w:tc>
          <w:tcPr>
            <w:tcW w:w="3482" w:type="dxa"/>
            <w:tcBorders>
              <w:right w:val="single" w:color="auto" w:sz="4" w:space="0"/>
            </w:tcBorders>
            <w:vAlign w:val="center"/>
          </w:tcPr>
          <w:p w14:paraId="069D031D">
            <w:pPr>
              <w:spacing w:line="400" w:lineRule="exact"/>
              <w:jc w:val="center"/>
              <w:rPr>
                <w:rFonts w:ascii="仿宋" w:hAnsi="仿宋" w:eastAsia="仿宋" w:cs="仿宋"/>
                <w:kern w:val="0"/>
                <w:sz w:val="20"/>
                <w:szCs w:val="20"/>
              </w:rPr>
            </w:pPr>
            <w:r>
              <w:rPr>
                <w:rFonts w:hint="eastAsia" w:ascii="仿宋" w:hAnsi="仿宋" w:eastAsia="仿宋" w:cs="仿宋"/>
                <w:kern w:val="0"/>
                <w:sz w:val="20"/>
                <w:szCs w:val="20"/>
              </w:rPr>
              <w:t>参考型号</w:t>
            </w:r>
          </w:p>
        </w:tc>
        <w:tc>
          <w:tcPr>
            <w:tcW w:w="1044" w:type="dxa"/>
            <w:tcBorders>
              <w:left w:val="single" w:color="auto" w:sz="4" w:space="0"/>
            </w:tcBorders>
            <w:vAlign w:val="center"/>
          </w:tcPr>
          <w:p w14:paraId="22F0301A">
            <w:pPr>
              <w:spacing w:line="400" w:lineRule="exact"/>
              <w:jc w:val="center"/>
              <w:rPr>
                <w:rFonts w:ascii="仿宋" w:hAnsi="仿宋" w:eastAsia="仿宋" w:cs="仿宋"/>
                <w:kern w:val="0"/>
                <w:sz w:val="20"/>
                <w:szCs w:val="20"/>
              </w:rPr>
            </w:pPr>
            <w:r>
              <w:rPr>
                <w:rFonts w:eastAsia="仿宋"/>
                <w:sz w:val="24"/>
              </w:rPr>
              <w:t>★是否提供样品</w:t>
            </w:r>
          </w:p>
        </w:tc>
      </w:tr>
      <w:tr w14:paraId="0B8B84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789" w:hRule="atLeast"/>
        </w:trPr>
        <w:tc>
          <w:tcPr>
            <w:tcW w:w="675" w:type="dxa"/>
            <w:tcBorders>
              <w:bottom w:val="single" w:color="auto" w:sz="4" w:space="0"/>
            </w:tcBorders>
            <w:vAlign w:val="center"/>
          </w:tcPr>
          <w:p w14:paraId="4EF43C62">
            <w:pPr>
              <w:spacing w:line="400" w:lineRule="exact"/>
              <w:jc w:val="center"/>
              <w:rPr>
                <w:rFonts w:ascii="仿宋" w:hAnsi="仿宋" w:eastAsia="仿宋" w:cs="仿宋"/>
                <w:kern w:val="0"/>
                <w:szCs w:val="21"/>
              </w:rPr>
            </w:pPr>
            <w:r>
              <w:rPr>
                <w:rFonts w:hint="eastAsia" w:ascii="仿宋" w:hAnsi="仿宋" w:eastAsia="仿宋"/>
                <w:sz w:val="24"/>
              </w:rPr>
              <w:t>2-1</w:t>
            </w:r>
          </w:p>
        </w:tc>
        <w:tc>
          <w:tcPr>
            <w:tcW w:w="851" w:type="dxa"/>
            <w:tcBorders>
              <w:bottom w:val="single" w:color="auto" w:sz="4" w:space="0"/>
            </w:tcBorders>
            <w:vAlign w:val="center"/>
          </w:tcPr>
          <w:p w14:paraId="6DBA8996">
            <w:pPr>
              <w:spacing w:line="400" w:lineRule="exact"/>
              <w:jc w:val="center"/>
              <w:rPr>
                <w:rFonts w:ascii="仿宋" w:hAnsi="仿宋" w:eastAsia="仿宋" w:cs="仿宋"/>
                <w:kern w:val="0"/>
                <w:szCs w:val="21"/>
              </w:rPr>
            </w:pPr>
            <w:r>
              <w:rPr>
                <w:rFonts w:ascii="仿宋" w:hAnsi="仿宋" w:eastAsia="仿宋"/>
                <w:sz w:val="24"/>
              </w:rPr>
              <w:t>人工乳房植入体</w:t>
            </w:r>
          </w:p>
        </w:tc>
        <w:tc>
          <w:tcPr>
            <w:tcW w:w="1276" w:type="dxa"/>
            <w:tcBorders>
              <w:bottom w:val="single" w:color="auto" w:sz="4" w:space="0"/>
            </w:tcBorders>
            <w:vAlign w:val="center"/>
          </w:tcPr>
          <w:p w14:paraId="01235287">
            <w:pPr>
              <w:jc w:val="center"/>
              <w:rPr>
                <w:rFonts w:ascii="仿宋" w:hAnsi="仿宋" w:eastAsia="仿宋"/>
                <w:sz w:val="24"/>
              </w:rPr>
            </w:pPr>
            <w:r>
              <w:rPr>
                <w:rFonts w:hint="eastAsia" w:ascii="仿宋" w:hAnsi="仿宋" w:eastAsia="仿宋"/>
                <w:sz w:val="24"/>
                <w:lang w:val="en-US" w:eastAsia="zh-CN"/>
              </w:rPr>
              <w:t>C060701135</w:t>
            </w:r>
          </w:p>
          <w:p w14:paraId="3D1F38DA">
            <w:pPr>
              <w:spacing w:line="400" w:lineRule="exact"/>
              <w:jc w:val="center"/>
              <w:rPr>
                <w:rFonts w:ascii="仿宋" w:hAnsi="仿宋" w:eastAsia="仿宋" w:cs="仿宋"/>
                <w:kern w:val="0"/>
                <w:szCs w:val="21"/>
              </w:rPr>
            </w:pPr>
          </w:p>
        </w:tc>
        <w:tc>
          <w:tcPr>
            <w:tcW w:w="1275" w:type="dxa"/>
            <w:tcBorders>
              <w:bottom w:val="single" w:color="auto" w:sz="4" w:space="0"/>
            </w:tcBorders>
            <w:vAlign w:val="center"/>
          </w:tcPr>
          <w:p w14:paraId="5DA38698">
            <w:pPr>
              <w:spacing w:line="400" w:lineRule="exact"/>
              <w:jc w:val="center"/>
              <w:rPr>
                <w:rFonts w:ascii="仿宋" w:hAnsi="仿宋" w:eastAsia="仿宋" w:cs="仿宋"/>
                <w:kern w:val="0"/>
                <w:szCs w:val="21"/>
              </w:rPr>
            </w:pPr>
            <w:r>
              <w:rPr>
                <w:rFonts w:hint="eastAsia" w:ascii="仿宋" w:hAnsi="仿宋" w:eastAsia="仿宋" w:cs="仿宋"/>
                <w:b w:val="0"/>
                <w:bCs w:val="0"/>
                <w:color w:val="auto"/>
                <w:sz w:val="24"/>
                <w:szCs w:val="24"/>
                <w:highlight w:val="none"/>
                <w:shd w:val="clear" w:color="auto" w:fill="auto"/>
                <w:lang w:val="en-US" w:eastAsia="zh-CN"/>
              </w:rPr>
              <w:t>适用于隆乳和乳房再造</w:t>
            </w:r>
          </w:p>
        </w:tc>
        <w:tc>
          <w:tcPr>
            <w:tcW w:w="3482" w:type="dxa"/>
            <w:tcBorders>
              <w:bottom w:val="single" w:color="auto" w:sz="4" w:space="0"/>
              <w:right w:val="single" w:color="auto" w:sz="4" w:space="0"/>
            </w:tcBorders>
            <w:vAlign w:val="center"/>
          </w:tcPr>
          <w:p w14:paraId="22ABF083">
            <w:pPr>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（1）材质:壳内填充物为硅凝胶材质；</w:t>
            </w:r>
          </w:p>
          <w:p w14:paraId="6D567CBB">
            <w:pPr>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（2）形状与外壳表面:自然型，毛面；</w:t>
            </w:r>
          </w:p>
          <w:p w14:paraId="7B7A36AB">
            <w:pPr>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（3）凸度:凸度最低≤3.4cm，最高≥5.6cm；</w:t>
            </w:r>
          </w:p>
          <w:p w14:paraId="41A1A62A">
            <w:pPr>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（4）体积:最小应该≤140cc，最大应≥615cc ；</w:t>
            </w:r>
          </w:p>
          <w:p w14:paraId="5D549B07">
            <w:pPr>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（5）请提供多种规格以供临床根据不同患者时选用。</w:t>
            </w:r>
          </w:p>
          <w:p w14:paraId="35647A97">
            <w:pPr>
              <w:jc w:val="center"/>
              <w:rPr>
                <w:rFonts w:ascii="仿宋" w:hAnsi="仿宋" w:eastAsia="仿宋" w:cs="仿宋"/>
                <w:kern w:val="0"/>
                <w:szCs w:val="21"/>
              </w:rPr>
            </w:pPr>
          </w:p>
        </w:tc>
        <w:tc>
          <w:tcPr>
            <w:tcW w:w="1044" w:type="dxa"/>
            <w:tcBorders>
              <w:left w:val="single" w:color="auto" w:sz="4" w:space="0"/>
              <w:bottom w:val="single" w:color="auto" w:sz="4" w:space="0"/>
            </w:tcBorders>
            <w:vAlign w:val="center"/>
          </w:tcPr>
          <w:p w14:paraId="2063BE2E">
            <w:pPr>
              <w:widowControl/>
              <w:jc w:val="center"/>
              <w:rPr>
                <w:rFonts w:ascii="仿宋" w:hAnsi="仿宋" w:eastAsia="仿宋" w:cs="仿宋"/>
                <w:kern w:val="0"/>
                <w:szCs w:val="21"/>
              </w:rPr>
            </w:pPr>
          </w:p>
          <w:p w14:paraId="34EA8A25">
            <w:pPr>
              <w:widowControl/>
              <w:jc w:val="center"/>
              <w:rPr>
                <w:rFonts w:ascii="仿宋" w:hAnsi="仿宋" w:eastAsia="仿宋" w:cs="仿宋"/>
                <w:kern w:val="0"/>
                <w:szCs w:val="21"/>
              </w:rPr>
            </w:pPr>
          </w:p>
          <w:p w14:paraId="3DE9F94E">
            <w:pPr>
              <w:widowControl/>
              <w:jc w:val="center"/>
              <w:rPr>
                <w:rFonts w:ascii="仿宋" w:hAnsi="仿宋" w:eastAsia="仿宋" w:cs="仿宋"/>
                <w:kern w:val="0"/>
                <w:szCs w:val="21"/>
              </w:rPr>
            </w:pPr>
            <w:r>
              <w:rPr>
                <w:rFonts w:ascii="仿宋" w:hAnsi="仿宋" w:eastAsia="仿宋" w:cs="仿宋"/>
                <w:kern w:val="0"/>
                <w:szCs w:val="21"/>
              </w:rPr>
              <w:t>是</w:t>
            </w:r>
          </w:p>
          <w:p w14:paraId="2078E019">
            <w:pPr>
              <w:widowControl/>
              <w:jc w:val="center"/>
              <w:rPr>
                <w:rFonts w:ascii="仿宋" w:hAnsi="仿宋" w:eastAsia="仿宋" w:cs="仿宋"/>
                <w:kern w:val="0"/>
                <w:szCs w:val="21"/>
              </w:rPr>
            </w:pPr>
          </w:p>
          <w:p w14:paraId="7741F3DD">
            <w:pPr>
              <w:ind w:left="132"/>
              <w:jc w:val="center"/>
              <w:rPr>
                <w:rFonts w:ascii="仿宋" w:hAnsi="仿宋" w:eastAsia="仿宋" w:cs="仿宋"/>
                <w:szCs w:val="21"/>
              </w:rPr>
            </w:pPr>
          </w:p>
          <w:p w14:paraId="48838DC4">
            <w:pPr>
              <w:spacing w:line="400" w:lineRule="exact"/>
              <w:jc w:val="center"/>
              <w:rPr>
                <w:rFonts w:ascii="仿宋" w:hAnsi="仿宋" w:eastAsia="仿宋" w:cs="仿宋"/>
                <w:kern w:val="0"/>
                <w:szCs w:val="21"/>
              </w:rPr>
            </w:pPr>
          </w:p>
        </w:tc>
      </w:tr>
      <w:tr w14:paraId="449805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72" w:hRule="atLeast"/>
        </w:trPr>
        <w:tc>
          <w:tcPr>
            <w:tcW w:w="675" w:type="dxa"/>
            <w:tcBorders>
              <w:top w:val="single" w:color="auto" w:sz="4" w:space="0"/>
            </w:tcBorders>
            <w:vAlign w:val="center"/>
          </w:tcPr>
          <w:p w14:paraId="52D72CCF">
            <w:pPr>
              <w:spacing w:line="400" w:lineRule="exact"/>
              <w:jc w:val="center"/>
              <w:rPr>
                <w:rFonts w:ascii="仿宋" w:hAnsi="仿宋" w:eastAsia="仿宋" w:cs="仿宋"/>
                <w:color w:val="000000"/>
                <w:kern w:val="0"/>
                <w:szCs w:val="21"/>
                <w:lang w:bidi="ar"/>
              </w:rPr>
            </w:pPr>
            <w:r>
              <w:rPr>
                <w:rFonts w:hint="eastAsia" w:ascii="仿宋" w:hAnsi="仿宋" w:eastAsia="仿宋"/>
                <w:sz w:val="24"/>
              </w:rPr>
              <w:t>2-2</w:t>
            </w:r>
          </w:p>
        </w:tc>
        <w:tc>
          <w:tcPr>
            <w:tcW w:w="851" w:type="dxa"/>
            <w:tcBorders>
              <w:top w:val="single" w:color="auto" w:sz="4" w:space="0"/>
            </w:tcBorders>
            <w:vAlign w:val="center"/>
          </w:tcPr>
          <w:p w14:paraId="5CB0C48C">
            <w:pPr>
              <w:spacing w:line="400" w:lineRule="exact"/>
              <w:jc w:val="center"/>
              <w:rPr>
                <w:rFonts w:ascii="仿宋" w:hAnsi="仿宋" w:eastAsia="仿宋" w:cs="仿宋"/>
                <w:color w:val="000000"/>
                <w:kern w:val="0"/>
                <w:szCs w:val="21"/>
                <w:lang w:bidi="ar"/>
              </w:rPr>
            </w:pPr>
            <w:r>
              <w:rPr>
                <w:rFonts w:ascii="仿宋" w:hAnsi="仿宋" w:eastAsia="仿宋"/>
                <w:sz w:val="24"/>
              </w:rPr>
              <w:t>人工乳房植入体</w:t>
            </w:r>
          </w:p>
        </w:tc>
        <w:tc>
          <w:tcPr>
            <w:tcW w:w="1276" w:type="dxa"/>
            <w:tcBorders>
              <w:top w:val="single" w:color="auto" w:sz="4" w:space="0"/>
            </w:tcBorders>
            <w:vAlign w:val="center"/>
          </w:tcPr>
          <w:p w14:paraId="2AEC6324">
            <w:pPr>
              <w:jc w:val="center"/>
              <w:rPr>
                <w:rFonts w:ascii="仿宋" w:hAnsi="仿宋" w:eastAsia="仿宋"/>
                <w:sz w:val="24"/>
              </w:rPr>
            </w:pPr>
            <w:r>
              <w:rPr>
                <w:rFonts w:hint="eastAsia" w:ascii="仿宋" w:hAnsi="仿宋" w:eastAsia="仿宋"/>
                <w:sz w:val="24"/>
              </w:rPr>
              <w:t>C060701135</w:t>
            </w:r>
          </w:p>
          <w:p w14:paraId="0D547A8E">
            <w:pPr>
              <w:spacing w:line="400" w:lineRule="exact"/>
              <w:jc w:val="center"/>
              <w:rPr>
                <w:rFonts w:ascii="仿宋" w:hAnsi="仿宋" w:eastAsia="仿宋" w:cs="仿宋"/>
                <w:szCs w:val="21"/>
              </w:rPr>
            </w:pPr>
          </w:p>
        </w:tc>
        <w:tc>
          <w:tcPr>
            <w:tcW w:w="1275" w:type="dxa"/>
            <w:tcBorders>
              <w:top w:val="single" w:color="auto" w:sz="4" w:space="0"/>
            </w:tcBorders>
            <w:vAlign w:val="center"/>
          </w:tcPr>
          <w:p w14:paraId="796213BA">
            <w:pPr>
              <w:spacing w:line="400" w:lineRule="exact"/>
              <w:jc w:val="center"/>
              <w:rPr>
                <w:rFonts w:ascii="仿宋" w:hAnsi="仿宋" w:eastAsia="仿宋" w:cs="仿宋"/>
                <w:szCs w:val="21"/>
              </w:rPr>
            </w:pPr>
            <w:r>
              <w:rPr>
                <w:rFonts w:hint="eastAsia" w:ascii="仿宋" w:hAnsi="仿宋" w:eastAsia="仿宋"/>
                <w:sz w:val="24"/>
              </w:rPr>
              <w:t>适用于隆乳和乳房再造</w:t>
            </w:r>
          </w:p>
        </w:tc>
        <w:tc>
          <w:tcPr>
            <w:tcW w:w="3482" w:type="dxa"/>
            <w:tcBorders>
              <w:top w:val="single" w:color="auto" w:sz="4" w:space="0"/>
              <w:right w:val="single" w:color="auto" w:sz="4" w:space="0"/>
            </w:tcBorders>
            <w:vAlign w:val="center"/>
          </w:tcPr>
          <w:p w14:paraId="7F57BBD2">
            <w:pPr>
              <w:jc w:val="center"/>
              <w:rPr>
                <w:rFonts w:hint="eastAsia" w:ascii="仿宋" w:hAnsi="仿宋" w:eastAsia="仿宋" w:cs="仿宋"/>
                <w:szCs w:val="21"/>
                <w:lang w:val="en-US" w:eastAsia="zh-CN"/>
              </w:rPr>
            </w:pPr>
            <w:r>
              <w:rPr>
                <w:rFonts w:hint="eastAsia" w:ascii="仿宋" w:hAnsi="仿宋" w:eastAsia="仿宋" w:cs="仿宋"/>
                <w:szCs w:val="21"/>
                <w:lang w:val="en-US" w:eastAsia="zh-CN"/>
              </w:rPr>
              <w:t>（1）材质:壳内填充物为硅凝胶材质；</w:t>
            </w:r>
          </w:p>
          <w:p w14:paraId="408B3B28">
            <w:pPr>
              <w:jc w:val="center"/>
              <w:rPr>
                <w:rFonts w:hint="eastAsia" w:ascii="仿宋" w:hAnsi="仿宋" w:eastAsia="仿宋" w:cs="仿宋"/>
                <w:szCs w:val="21"/>
                <w:lang w:val="en-US" w:eastAsia="zh-CN"/>
              </w:rPr>
            </w:pPr>
            <w:r>
              <w:rPr>
                <w:rFonts w:hint="eastAsia" w:ascii="仿宋" w:hAnsi="仿宋" w:eastAsia="仿宋" w:cs="仿宋"/>
                <w:szCs w:val="21"/>
                <w:lang w:val="en-US" w:eastAsia="zh-CN"/>
              </w:rPr>
              <w:t>（2）形状外表:圆形，毛面；</w:t>
            </w:r>
          </w:p>
          <w:p w14:paraId="550F5CE2">
            <w:pPr>
              <w:jc w:val="center"/>
              <w:rPr>
                <w:rFonts w:hint="eastAsia" w:ascii="仿宋" w:hAnsi="仿宋" w:eastAsia="仿宋" w:cs="仿宋"/>
                <w:szCs w:val="21"/>
                <w:lang w:val="en-US" w:eastAsia="zh-CN"/>
              </w:rPr>
            </w:pPr>
            <w:r>
              <w:rPr>
                <w:rFonts w:hint="eastAsia" w:ascii="仿宋" w:hAnsi="仿宋" w:eastAsia="仿宋" w:cs="仿宋"/>
                <w:szCs w:val="21"/>
                <w:lang w:val="en-US" w:eastAsia="zh-CN"/>
              </w:rPr>
              <w:t>（3）凸度:凸度最低≤2.7cm，最高≥4.5cm ；</w:t>
            </w:r>
          </w:p>
          <w:p w14:paraId="239D08F9">
            <w:pPr>
              <w:jc w:val="center"/>
              <w:rPr>
                <w:rFonts w:hint="eastAsia" w:ascii="仿宋" w:hAnsi="仿宋" w:eastAsia="仿宋" w:cs="仿宋"/>
                <w:szCs w:val="21"/>
                <w:lang w:val="en-US" w:eastAsia="zh-CN"/>
              </w:rPr>
            </w:pPr>
            <w:r>
              <w:rPr>
                <w:rFonts w:hint="eastAsia" w:ascii="仿宋" w:hAnsi="仿宋" w:eastAsia="仿宋" w:cs="仿宋"/>
                <w:szCs w:val="21"/>
                <w:lang w:val="en-US" w:eastAsia="zh-CN"/>
              </w:rPr>
              <w:t>（4）体积:最小应该≤100cc，最大应≥600cc ；</w:t>
            </w:r>
          </w:p>
          <w:p w14:paraId="3C97369C">
            <w:pPr>
              <w:jc w:val="center"/>
              <w:rPr>
                <w:rFonts w:hint="eastAsia" w:ascii="仿宋" w:hAnsi="仿宋" w:eastAsia="仿宋" w:cs="仿宋"/>
                <w:szCs w:val="21"/>
                <w:lang w:val="en-US" w:eastAsia="zh-CN"/>
              </w:rPr>
            </w:pPr>
            <w:r>
              <w:rPr>
                <w:rFonts w:hint="eastAsia" w:ascii="仿宋" w:hAnsi="仿宋" w:eastAsia="仿宋" w:cs="仿宋"/>
                <w:szCs w:val="21"/>
                <w:lang w:val="en-US" w:eastAsia="zh-CN"/>
              </w:rPr>
              <w:t>（5）请提供多种规格以供临床根据不同患者时选用。</w:t>
            </w:r>
          </w:p>
          <w:p w14:paraId="34650481">
            <w:pPr>
              <w:jc w:val="center"/>
              <w:rPr>
                <w:rFonts w:ascii="仿宋" w:hAnsi="仿宋" w:eastAsia="仿宋" w:cs="仿宋"/>
                <w:szCs w:val="21"/>
              </w:rPr>
            </w:pPr>
          </w:p>
        </w:tc>
        <w:tc>
          <w:tcPr>
            <w:tcW w:w="1044" w:type="dxa"/>
            <w:tcBorders>
              <w:top w:val="single" w:color="auto" w:sz="4" w:space="0"/>
              <w:left w:val="single" w:color="auto" w:sz="4" w:space="0"/>
            </w:tcBorders>
            <w:vAlign w:val="center"/>
          </w:tcPr>
          <w:p w14:paraId="1A656596">
            <w:pPr>
              <w:spacing w:line="400" w:lineRule="exact"/>
              <w:jc w:val="center"/>
              <w:rPr>
                <w:rFonts w:ascii="仿宋" w:hAnsi="仿宋" w:eastAsia="仿宋" w:cs="仿宋"/>
                <w:kern w:val="0"/>
                <w:szCs w:val="21"/>
              </w:rPr>
            </w:pPr>
            <w:r>
              <w:rPr>
                <w:rFonts w:ascii="仿宋" w:hAnsi="仿宋" w:eastAsia="仿宋" w:cs="仿宋"/>
                <w:kern w:val="0"/>
                <w:szCs w:val="21"/>
              </w:rPr>
              <w:t>是</w:t>
            </w:r>
          </w:p>
        </w:tc>
      </w:tr>
    </w:tbl>
    <w:p w14:paraId="3735CF73">
      <w:pPr>
        <w:pStyle w:val="8"/>
        <w:ind w:firstLine="240" w:firstLineChars="100"/>
        <w:jc w:val="left"/>
        <w:outlineLvl w:val="9"/>
        <w:rPr>
          <w:rFonts w:hint="eastAsia" w:ascii="Times New Roman" w:hAnsi="Times New Roman" w:eastAsia="仿宋" w:cs="Times New Roman"/>
          <w:b w:val="0"/>
          <w:bCs w:val="0"/>
          <w:color w:val="auto"/>
          <w:sz w:val="22"/>
          <w:szCs w:val="22"/>
          <w:highlight w:val="none"/>
          <w:shd w:val="clear" w:color="auto" w:fill="auto"/>
          <w:lang w:val="en-US" w:eastAsia="zh-CN"/>
        </w:rPr>
      </w:pPr>
      <w:r>
        <w:rPr>
          <w:rFonts w:hint="eastAsia" w:ascii="仿宋" w:hAnsi="仿宋" w:eastAsia="仿宋" w:cs="仿宋"/>
          <w:color w:val="auto"/>
          <w:kern w:val="2"/>
          <w:sz w:val="24"/>
          <w:szCs w:val="24"/>
          <w:highlight w:val="none"/>
          <w:shd w:val="clear" w:color="auto" w:fill="auto"/>
          <w:lang w:val="en-US" w:eastAsia="zh-CN" w:bidi="ar-SA"/>
        </w:rPr>
        <w:t>备注：如现场供应商提供产品与采购文件要求医保耗材代码不一致，但经评审专家现场审核样品后确定，该产品符合临床实际需求，且该产品注册证上的适应症及医疗器械管理分类目录的管理类别均满足需求，与则本次项目取消医用耗材代码实质性要求后重新挂网。</w:t>
      </w:r>
    </w:p>
    <w:p w14:paraId="082A6DC9">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3.3.</w:t>
      </w:r>
      <w:r>
        <w:rPr>
          <w:rFonts w:hint="eastAsia" w:ascii="仿宋" w:hAnsi="仿宋" w:eastAsia="仿宋" w:cs="仿宋"/>
          <w:b/>
          <w:sz w:val="28"/>
          <w:lang w:val="en-US" w:eastAsia="zh-CN"/>
        </w:rPr>
        <w:t>项目采购要求</w:t>
      </w:r>
    </w:p>
    <w:p w14:paraId="5E1A8A91">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一、挂网需求</w:t>
      </w:r>
    </w:p>
    <w:p w14:paraId="13BD5BD0">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本项目所有标的均须提供挂网产品。</w:t>
      </w:r>
    </w:p>
    <w:p w14:paraId="59E98858">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注：本项目中所指“挂网产品”，为“四川省药品和医用耗材招采管理系统”中已挂网产品（不含正在挂网和备案的产品）。</w:t>
      </w:r>
    </w:p>
    <w:p w14:paraId="46ABB168">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二、样品要求</w:t>
      </w:r>
    </w:p>
    <w:p w14:paraId="3EC801FE">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1.必须提供样品，以供评审专家现场评审（如样品和标的产品有同一材质的，竞选人可提供承诺函证明标的产品与样品为同一材质，则无需提供所有标的产品作为样品）。</w:t>
      </w:r>
    </w:p>
    <w:p w14:paraId="2FEBB4A3">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2.提交的样品不符合实际需求或存在原理错误则视为无效响应。</w:t>
      </w:r>
    </w:p>
    <w:p w14:paraId="526CE311">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3.本项目竞选人提供的样品，应与该竞选人响应文件保持一致（具体参考《医疗器械说明书和标签管理规定》）。</w:t>
      </w:r>
    </w:p>
    <w:p w14:paraId="19113D38">
      <w:pPr>
        <w:ind w:firstLine="442" w:firstLineChars="200"/>
        <w:jc w:val="left"/>
        <w:textAlignment w:val="center"/>
        <w:rPr>
          <w:rFonts w:hint="default" w:ascii="仿宋" w:hAnsi="仿宋" w:eastAsia="仿宋" w:cs="仿宋"/>
          <w:b/>
          <w:bCs/>
          <w:color w:val="000000"/>
          <w:kern w:val="0"/>
          <w:sz w:val="22"/>
          <w:szCs w:val="22"/>
          <w:highlight w:val="yellow"/>
          <w:u w:val="none"/>
          <w:lang w:val="en-US" w:eastAsia="zh-CN" w:bidi="ar"/>
        </w:rPr>
      </w:pPr>
      <w:r>
        <w:rPr>
          <w:rFonts w:hint="eastAsia" w:ascii="仿宋" w:hAnsi="仿宋" w:eastAsia="仿宋" w:cs="仿宋"/>
          <w:b/>
          <w:bCs/>
          <w:color w:val="000000"/>
          <w:kern w:val="0"/>
          <w:sz w:val="22"/>
          <w:szCs w:val="22"/>
          <w:highlight w:val="yellow"/>
          <w:u w:val="none"/>
          <w:lang w:val="en-US" w:eastAsia="zh-CN" w:bidi="ar"/>
        </w:rPr>
        <w:t>注：样品包装需完整，样品评审时将由采购代理机构拍照留存，作为后期验收的依据。</w:t>
      </w:r>
    </w:p>
    <w:p w14:paraId="4FE47C24">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bCs/>
          <w:color w:val="000000"/>
          <w:sz w:val="24"/>
          <w:szCs w:val="24"/>
          <w:lang w:val="en-US" w:eastAsia="zh-CN"/>
        </w:rPr>
      </w:pPr>
      <w:r>
        <w:rPr>
          <w:rFonts w:hint="eastAsia" w:ascii="仿宋" w:hAnsi="仿宋" w:eastAsia="仿宋" w:cs="仿宋"/>
          <w:b/>
          <w:sz w:val="28"/>
          <w:lang w:val="en-US" w:eastAsia="zh-CN"/>
        </w:rPr>
        <w:t>三、商务</w:t>
      </w:r>
      <w:r>
        <w:rPr>
          <w:rFonts w:hint="eastAsia" w:ascii="仿宋" w:hAnsi="仿宋" w:eastAsia="仿宋" w:cs="仿宋"/>
          <w:b/>
          <w:sz w:val="28"/>
        </w:rPr>
        <w:t>要求</w:t>
      </w:r>
      <w:r>
        <w:rPr>
          <w:rFonts w:hint="eastAsia" w:ascii="仿宋" w:hAnsi="仿宋" w:eastAsia="仿宋" w:cs="仿宋"/>
          <w:b/>
          <w:bCs/>
          <w:color w:val="000000"/>
          <w:sz w:val="28"/>
          <w:szCs w:val="28"/>
          <w:lang w:val="en-US" w:eastAsia="zh-CN"/>
        </w:rPr>
        <w:t>：</w:t>
      </w:r>
    </w:p>
    <w:p w14:paraId="35F1DADD">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outlineLvl w:val="3"/>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1.交货期及地点</w:t>
      </w:r>
    </w:p>
    <w:p w14:paraId="3F9D75FA">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（1）交货期：每次配送时间必须严格按照采购人配送通知执行，成交供应商应于收到通知后2小时内响应。急救耗材的配送时间不应超过4小时，一般耗材原则上的配送时间不应超过2个工作日；</w:t>
      </w:r>
    </w:p>
    <w:p w14:paraId="4498097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（2）交货地点：内江</w:t>
      </w:r>
      <w:r>
        <w:rPr>
          <w:rFonts w:hint="eastAsia" w:ascii="仿宋" w:hAnsi="仿宋" w:eastAsia="仿宋" w:cs="仿宋"/>
          <w:color w:val="000000"/>
          <w:kern w:val="0"/>
          <w:sz w:val="22"/>
          <w:szCs w:val="22"/>
          <w:u w:val="none"/>
          <w:lang w:val="en-US" w:eastAsia="zh-CN" w:bidi="ar"/>
        </w:rPr>
        <w:t>市第一人民医院指定地点。</w:t>
      </w:r>
    </w:p>
    <w:p w14:paraId="287B59AD">
      <w:pPr>
        <w:pStyle w:val="8"/>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2.付款方法和条件</w:t>
      </w:r>
    </w:p>
    <w:p w14:paraId="2F529AF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（1）结算方式：货款按实结算且由双方协商决定；</w:t>
      </w:r>
    </w:p>
    <w:p w14:paraId="097B6681">
      <w:pPr>
        <w:ind w:firstLine="440" w:firstLineChars="200"/>
        <w:jc w:val="left"/>
        <w:textAlignment w:val="center"/>
        <w:rPr>
          <w:rFonts w:hint="eastAsia" w:ascii="仿宋" w:hAnsi="仿宋" w:eastAsia="仿宋" w:cs="仿宋"/>
          <w:sz w:val="24"/>
          <w:szCs w:val="24"/>
          <w:lang w:val="en-US" w:eastAsia="zh-CN"/>
        </w:rPr>
      </w:pPr>
      <w:r>
        <w:rPr>
          <w:rFonts w:hint="eastAsia" w:ascii="仿宋" w:hAnsi="仿宋" w:eastAsia="仿宋" w:cs="仿宋"/>
          <w:color w:val="000000"/>
          <w:kern w:val="0"/>
          <w:sz w:val="22"/>
          <w:szCs w:val="22"/>
          <w:u w:val="none"/>
          <w:lang w:val="en-US" w:eastAsia="zh-CN" w:bidi="ar"/>
        </w:rPr>
        <w:t>（2）成交价格包含成本、运输、包装、培训、配送、伴随服务、税费及其他附加费用</w:t>
      </w:r>
      <w:r>
        <w:rPr>
          <w:rFonts w:hint="eastAsia" w:ascii="仿宋" w:hAnsi="仿宋" w:eastAsia="仿宋" w:cs="仿宋"/>
          <w:sz w:val="24"/>
          <w:szCs w:val="24"/>
          <w:lang w:val="en-US" w:eastAsia="zh-CN"/>
        </w:rPr>
        <w:t>。</w:t>
      </w:r>
    </w:p>
    <w:p w14:paraId="4B35A6EC">
      <w:pPr>
        <w:pStyle w:val="8"/>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3.医用耗材质量保证</w:t>
      </w:r>
    </w:p>
    <w:p w14:paraId="006178F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（1）成交供应商须提供原厂生产的未曾使用过的、全新的合格的货品（含配套配件等），表面无划伤、无破损痕迹，且权属清楚，不得侵害他人的合法权利；</w:t>
      </w:r>
    </w:p>
    <w:p w14:paraId="35DD79B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成交供应商所提供货品须符合或优于国家（行业）标准、本项目招标文件要求及竞选文件响应内容。当竞选文件响应内容与招标文件要求不一致时，以竞选文件响应内容为准。当竞选文件响应内容与国家标准、行业标准（若有）不一致时，以较高标准为准；</w:t>
      </w:r>
    </w:p>
    <w:p w14:paraId="600D0C0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（3）成交供应商提供货品的设计技术专利、外形专利等均应符合我国有关法律法规及行业标准，凡因以上问题与第三方发生的任何纠纷均与采购人无关；</w:t>
      </w:r>
    </w:p>
    <w:p w14:paraId="209D160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（4）成交供应商保证其提供货品的安全可靠性。在正常使用下不应对使用者造成任何人身伤害，如因产品质量或标示不明确而对使用者造成损失的，由成交供应商承担相应责任；</w:t>
      </w:r>
    </w:p>
    <w:p w14:paraId="4B9D902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成交供应商应保证所供耗材原产地真实，医用耗材是全新的、未使用过的，质量符合国家标准（在无国家标准时，符合行业标准），不得以假充真，以次充好，确保临床医疗安全。如出现质量问题，成交供应商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6064474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（6）成交供应商保证所供耗材有效期不低于1年，自通过最终验收之日起，确保采购人在使用耗材的过程中安全、有效。</w:t>
      </w:r>
    </w:p>
    <w:p w14:paraId="528FFCB5">
      <w:pPr>
        <w:pStyle w:val="8"/>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4.验收</w:t>
      </w:r>
    </w:p>
    <w:p w14:paraId="28EC690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按照《财政部关于进一步加强政府采购需求和履约验收管理的指导意见》（财库〔2016〕205号）的要求以及采购人招标文件的质量要求和技术指标、成交供应商的竞选文件及承诺（若有）、国家（行业）标准、本合同约定标准进行验收；</w:t>
      </w:r>
    </w:p>
    <w:p w14:paraId="08150C6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验收时如发现所交付的货物有短装、次品、损坏或其他不符合验收标准的，采购人应做出详尽的现场记录，此现场记录或备忘录可用作补充、缺失和更换损坏部件的有效证据，由此产生的时间延误与有关费用由成交供应商承担，验收期限相应顺延；</w:t>
      </w:r>
    </w:p>
    <w:p w14:paraId="4BA4401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所提供货物不符合验收标准，成交供应商经过2次维修或2次调换后仍不能达到验收质量标准，则视为验收不合格，采购人有权全部（或部分）退货或解除合同。接到采购人退货通知，成交供应商除应及时运走采购人退还的货物外（若涉及费用或损失均由成交供应商自行承担），还应向采购人承担相应的违约责任。</w:t>
      </w:r>
    </w:p>
    <w:p w14:paraId="37422B70">
      <w:pPr>
        <w:pStyle w:val="8"/>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5.售后服务</w:t>
      </w:r>
    </w:p>
    <w:p w14:paraId="4776291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要求成交供应商必须严格按照招标文件要求和竞选文件中的承诺提供配送服务。如果配送的医用耗材规格、包装等信息与中标产品的规格、包装等信息不一致并不同意更换的，或配送的医用耗材和中标产品不一致的，采购人有权终止合同；</w:t>
      </w:r>
    </w:p>
    <w:p w14:paraId="27C64F4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（2）要求成交供应商指派专人负责与采购人联系售后服务事宜；在竞选文件中列明售后联系人及联系电话；</w:t>
      </w:r>
    </w:p>
    <w:p w14:paraId="437A7F1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要求成交供应商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750067D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（4）耗材临近失效期，采购人提前三个月向成交供应商提出更换，成交供应商须在耗材失效前一个月更换完毕，不得以任何理由进行推诿；</w:t>
      </w:r>
    </w:p>
    <w:p w14:paraId="5D328AC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（5）成交供应商必须随货提供其具备医疗器械经营企业的有关合法有效的手续（包括但不限于）：</w:t>
      </w:r>
    </w:p>
    <w:p w14:paraId="55543F3E">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5.1产品所涉及逐级授权经销商的医疗器械生产（经营）许可证或生产（经营）企业备案表；</w:t>
      </w:r>
    </w:p>
    <w:p w14:paraId="26C8E76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5.2医疗器械产品注册证或备案凭证；</w:t>
      </w:r>
    </w:p>
    <w:p w14:paraId="273DDBF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5.3医疗器械生产企业许可证；</w:t>
      </w:r>
    </w:p>
    <w:p w14:paraId="6BDF112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5.4经销商获得的委托授权书（逐级）；</w:t>
      </w:r>
    </w:p>
    <w:p w14:paraId="691121A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5.5产品所涉及逐级授权经销商的企业法人营业执照。</w:t>
      </w:r>
    </w:p>
    <w:p w14:paraId="3CC3AE0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5.6采购人要求提供的相关资料。</w:t>
      </w:r>
    </w:p>
    <w:p w14:paraId="194BC3D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成交供应商或厂家原因无法按上述要求执行的，则采购人可以解除与成交供应商在成交合同中对该产品的采购相关约定。</w:t>
      </w:r>
    </w:p>
    <w:p w14:paraId="247A3743">
      <w:pPr>
        <w:pStyle w:val="8"/>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 xml:space="preserve">6.包装和运输 </w:t>
      </w:r>
    </w:p>
    <w:p w14:paraId="43EEEFD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（1）成交供应商须严格按照《商品包装政府采购需求标准(试行)》、《快递包装政府采购需求标准(试行)》(财办库〔2020〕123 号)的要求进行产品及相关快递服务的包装； </w:t>
      </w:r>
    </w:p>
    <w:p w14:paraId="54B7D22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2）成交供应商应当按照约定的方式交付标的物。对于包装方式没有约定或者约定不明确的，应当按照通用的方式包装；没有通用方式的，应当采取足以保护标的物且有利于节约资源，保护生态环境的包装方式； </w:t>
      </w:r>
    </w:p>
    <w:p w14:paraId="6A009FE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（3）本次采购的标的物需要运输，成交供应商在合同约定的时间内将标的物运输至合同约定地点。</w:t>
      </w:r>
    </w:p>
    <w:p w14:paraId="25364DF4">
      <w:pPr>
        <w:pStyle w:val="8"/>
        <w:jc w:val="left"/>
        <w:outlineLvl w:val="1"/>
        <w:rPr>
          <w:rFonts w:hint="eastAsia" w:ascii="仿宋" w:hAnsi="仿宋" w:eastAsia="仿宋" w:cs="仿宋"/>
        </w:rPr>
      </w:pPr>
      <w:r>
        <w:rPr>
          <w:rFonts w:hint="eastAsia" w:ascii="仿宋" w:hAnsi="仿宋" w:eastAsia="仿宋" w:cs="仿宋"/>
          <w:b/>
          <w:sz w:val="28"/>
        </w:rPr>
        <w:t>3.4.其他要求</w:t>
      </w:r>
    </w:p>
    <w:p w14:paraId="73A31F4F">
      <w:pPr>
        <w:pStyle w:val="8"/>
        <w:ind w:firstLine="480" w:firstLineChars="0"/>
        <w:jc w:val="left"/>
        <w:outlineLvl w:val="2"/>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w:t>
      </w:r>
      <w:r>
        <w:rPr>
          <w:rFonts w:hint="default" w:ascii="仿宋" w:hAnsi="仿宋" w:eastAsia="仿宋" w:cs="仿宋"/>
          <w:b/>
          <w:bCs/>
          <w:sz w:val="24"/>
          <w:szCs w:val="24"/>
          <w:lang w:val="en-US" w:eastAsia="zh-CN"/>
        </w:rPr>
        <w:t>违约责任与解决争议的方法：</w:t>
      </w:r>
    </w:p>
    <w:p w14:paraId="275848A0">
      <w:pPr>
        <w:pStyle w:val="8"/>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1.1违约责任</w:t>
      </w:r>
    </w:p>
    <w:p w14:paraId="62BD37E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（1）乙方逾期15日内不能提供甲方所需医用耗材的，应向甲方每日支付该批次货款千分之三的违约金。</w:t>
      </w:r>
    </w:p>
    <w:p w14:paraId="312B85A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（2）乙方逾期15日及以上不能交付以上产品的，视同不能供货，须向甲方支付该批次货款的10%的违约金，同时甲方可以单方面解除本合同。</w:t>
      </w:r>
    </w:p>
    <w:p w14:paraId="6643FD1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（3）若因乙方原因造成甲方被监管部门通报三次及以上的或者造成甲方违规采购，甲方有权单方面解除本合同。同时</w:t>
      </w:r>
      <w:r>
        <w:rPr>
          <w:rFonts w:hint="default"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t>甲方有权要求乙方支付该批货物价款20%的违约金。</w:t>
      </w:r>
    </w:p>
    <w:p w14:paraId="7B75938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乙方销售的产品若发生严重医疗不良事件或被国家法定检测机构检测为不合格产品，视为乙方违约导致不能实现本合同目的，甲方有权单方面解除本合同，并要求乙方限期收回不合格产品，并要求乙方需承担合同价款20%的违约金，违约金不足以弥补甲方损失的，乙方还应当承补足。即使产品已经验收入库（或安装调试完毕）后，甲方才发现产品为不合格产品的，也视为乙方违约，乙方应当承担本条约定的责任。同时甲方有权退回库存产品。</w:t>
      </w:r>
    </w:p>
    <w:p w14:paraId="76A8532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（5）若根据法律规定或本协议约定产生甲方退、换货或拒绝收货情形，由乙方承担退换货产生的各项税、费或其他支出。</w:t>
      </w:r>
    </w:p>
    <w:p w14:paraId="6E9CEDF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（6）乙方不能保证及时供货，除应当向甲方承担违约责任外，甲方仍有权单方面解除本合同。</w:t>
      </w:r>
    </w:p>
    <w:p w14:paraId="74D6FCE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（7）因乙方提供的产品不合格造成甲方或第三人人身损害或财产损失的，由乙方承担赔偿责任。</w:t>
      </w:r>
    </w:p>
    <w:p w14:paraId="0F8C49DE">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8）若因乙方原因造成甲方挂网执行存在问题以及线上支付不及时、造成甲方未挂网采购的或者存在其他问题的，乙方应承担违约责任，且甲方有权要求乙方支付该批货物价款20%的违约金，甲方有权单方面解除合同。</w:t>
      </w:r>
    </w:p>
    <w:p w14:paraId="0B62C535">
      <w:pPr>
        <w:pStyle w:val="8"/>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1.2解决合同纠纷的方式</w:t>
      </w:r>
    </w:p>
    <w:p w14:paraId="5AD7F10E">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（1）因货物的质量问题发生的争议，由法定质量鉴定机构或其认可的质量鉴定机构进行质量鉴定。货物符合标准的，鉴定费由采购人承担；货物不符合质量标准的，鉴定费由成交供应商承担。</w:t>
      </w:r>
    </w:p>
    <w:p w14:paraId="276D11E9">
      <w:pPr>
        <w:ind w:firstLine="440" w:firstLineChars="200"/>
        <w:jc w:val="left"/>
        <w:textAlignment w:val="center"/>
        <w:rPr>
          <w:rFonts w:hint="default"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（2）合同履行期间，若双方发生争议，可协商或由有关部门调解解决，协商或调解不成的，可向采购人所在地人民法院依法提起诉讼。</w:t>
      </w:r>
    </w:p>
    <w:p w14:paraId="5EFF250B">
      <w:pPr>
        <w:pStyle w:val="8"/>
        <w:ind w:firstLine="480"/>
        <w:jc w:val="left"/>
        <w:rPr>
          <w:rFonts w:hint="eastAsia" w:ascii="Times New Roman" w:hAnsi="Times New Roman" w:eastAsia="仿宋" w:cs="Times New Roman"/>
          <w:color w:val="auto"/>
          <w:sz w:val="24"/>
          <w:szCs w:val="24"/>
          <w:highlight w:val="yellow"/>
          <w:shd w:val="clear" w:color="auto" w:fill="auto"/>
          <w:lang w:val="en-US" w:eastAsia="zh-CN"/>
        </w:rPr>
      </w:pPr>
      <w:r>
        <w:rPr>
          <w:rFonts w:hint="eastAsia" w:ascii="仿宋" w:hAnsi="仿宋" w:eastAsia="仿宋" w:cs="仿宋"/>
          <w:b/>
          <w:bCs/>
          <w:sz w:val="24"/>
          <w:szCs w:val="24"/>
          <w:lang w:val="en-US" w:eastAsia="zh-CN"/>
        </w:rPr>
        <w:t>2.</w:t>
      </w:r>
      <w:r>
        <w:rPr>
          <w:rFonts w:hint="default" w:ascii="Times New Roman" w:hAnsi="Times New Roman" w:eastAsia="仿宋" w:cs="Times New Roman"/>
          <w:b/>
          <w:bCs/>
          <w:color w:val="auto"/>
          <w:sz w:val="24"/>
          <w:szCs w:val="24"/>
          <w:highlight w:val="none"/>
          <w:shd w:val="clear" w:color="auto" w:fill="auto"/>
        </w:rPr>
        <w:t>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000000"/>
          <w:kern w:val="0"/>
          <w:sz w:val="22"/>
          <w:szCs w:val="22"/>
          <w:highlight w:val="none"/>
          <w:u w:val="none"/>
          <w:lang w:val="en-US" w:eastAsia="zh-CN" w:bidi="ar"/>
        </w:rPr>
        <w:t>1年；</w:t>
      </w:r>
    </w:p>
    <w:p w14:paraId="0050A1E2">
      <w:pPr>
        <w:pStyle w:val="8"/>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3.支付方式：</w:t>
      </w:r>
      <w:r>
        <w:rPr>
          <w:rFonts w:hint="eastAsia" w:ascii="仿宋" w:hAnsi="仿宋" w:eastAsia="仿宋" w:cs="仿宋"/>
          <w:color w:val="000000"/>
          <w:kern w:val="0"/>
          <w:sz w:val="22"/>
          <w:szCs w:val="22"/>
          <w:u w:val="none"/>
          <w:lang w:val="en-US" w:eastAsia="zh-CN" w:bidi="ar"/>
        </w:rPr>
        <w:t>双方协商确定。</w:t>
      </w:r>
    </w:p>
    <w:p w14:paraId="5A39D69D">
      <w:pPr>
        <w:pStyle w:val="8"/>
        <w:ind w:firstLine="480"/>
        <w:jc w:val="left"/>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4.</w:t>
      </w:r>
      <w:r>
        <w:rPr>
          <w:rFonts w:hint="default" w:ascii="仿宋" w:hAnsi="仿宋" w:eastAsia="仿宋" w:cs="仿宋"/>
          <w:b/>
          <w:bCs/>
          <w:sz w:val="24"/>
          <w:szCs w:val="24"/>
          <w:lang w:val="en-US" w:eastAsia="zh-CN"/>
        </w:rPr>
        <w:t>履约验收程序</w:t>
      </w:r>
      <w:r>
        <w:rPr>
          <w:rFonts w:hint="eastAsia" w:ascii="仿宋" w:hAnsi="仿宋" w:eastAsia="仿宋" w:cs="仿宋"/>
          <w:b/>
          <w:bCs/>
          <w:sz w:val="24"/>
          <w:szCs w:val="24"/>
          <w:lang w:val="en-US" w:eastAsia="zh-CN"/>
        </w:rPr>
        <w:t>：</w:t>
      </w:r>
      <w:r>
        <w:rPr>
          <w:rFonts w:hint="eastAsia" w:ascii="仿宋" w:hAnsi="仿宋" w:eastAsia="仿宋" w:cs="仿宋"/>
          <w:color w:val="000000"/>
          <w:kern w:val="0"/>
          <w:sz w:val="22"/>
          <w:szCs w:val="22"/>
          <w:u w:val="none"/>
          <w:lang w:val="en-US" w:eastAsia="zh-CN" w:bidi="ar"/>
        </w:rPr>
        <w:t>分批次验收。</w:t>
      </w:r>
    </w:p>
    <w:p w14:paraId="64DDB0B6">
      <w:pPr>
        <w:pStyle w:val="8"/>
        <w:ind w:firstLine="480"/>
        <w:rPr>
          <w:rFonts w:hint="default"/>
        </w:rPr>
      </w:pPr>
      <w:r>
        <w:rPr>
          <w:rFonts w:hint="eastAsia" w:ascii="仿宋" w:hAnsi="仿宋" w:eastAsia="仿宋" w:cs="仿宋"/>
          <w:b/>
          <w:bCs/>
          <w:sz w:val="24"/>
          <w:szCs w:val="24"/>
          <w:lang w:val="en-US" w:eastAsia="zh-CN"/>
        </w:rPr>
        <w:t>5.</w:t>
      </w:r>
      <w:r>
        <w:rPr>
          <w:rFonts w:hint="default" w:ascii="仿宋" w:hAnsi="仿宋" w:eastAsia="仿宋" w:cs="仿宋"/>
          <w:b/>
          <w:bCs/>
          <w:sz w:val="24"/>
          <w:szCs w:val="24"/>
          <w:lang w:val="en-US" w:eastAsia="zh-CN"/>
        </w:rPr>
        <w:t>履约验收时间：</w:t>
      </w:r>
      <w:r>
        <w:rPr>
          <w:rFonts w:hint="default" w:ascii="仿宋" w:hAnsi="仿宋" w:eastAsia="仿宋" w:cs="仿宋"/>
          <w:color w:val="000000"/>
          <w:kern w:val="0"/>
          <w:sz w:val="22"/>
          <w:szCs w:val="22"/>
          <w:u w:val="none"/>
          <w:lang w:val="en-US" w:eastAsia="zh-CN" w:bidi="ar"/>
        </w:rPr>
        <w:t>合同期限内，根据</w:t>
      </w:r>
      <w:r>
        <w:rPr>
          <w:rFonts w:hint="eastAsia" w:ascii="仿宋" w:hAnsi="仿宋" w:eastAsia="仿宋" w:cs="仿宋"/>
          <w:color w:val="000000"/>
          <w:kern w:val="0"/>
          <w:sz w:val="22"/>
          <w:szCs w:val="22"/>
          <w:u w:val="none"/>
          <w:lang w:val="en-US" w:eastAsia="zh-CN" w:bidi="ar"/>
        </w:rPr>
        <w:t>采购人</w:t>
      </w:r>
      <w:r>
        <w:rPr>
          <w:rFonts w:hint="default" w:ascii="仿宋" w:hAnsi="仿宋" w:eastAsia="仿宋" w:cs="仿宋"/>
          <w:color w:val="000000"/>
          <w:kern w:val="0"/>
          <w:sz w:val="22"/>
          <w:szCs w:val="22"/>
          <w:u w:val="none"/>
          <w:lang w:val="en-US" w:eastAsia="zh-CN" w:bidi="ar"/>
        </w:rPr>
        <w:t>要求分批次送货，完成送货、验收入库视为验收完成</w:t>
      </w:r>
      <w:r>
        <w:rPr>
          <w:rFonts w:hint="eastAsia"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FCF"/>
    <w:rsid w:val="0011004D"/>
    <w:rsid w:val="004911EA"/>
    <w:rsid w:val="00944298"/>
    <w:rsid w:val="009C1562"/>
    <w:rsid w:val="00A44ECE"/>
    <w:rsid w:val="00CC118B"/>
    <w:rsid w:val="00F33597"/>
    <w:rsid w:val="00F54FCF"/>
    <w:rsid w:val="056E5276"/>
    <w:rsid w:val="077F66F5"/>
    <w:rsid w:val="108B406B"/>
    <w:rsid w:val="1ACE595C"/>
    <w:rsid w:val="312E4E5B"/>
    <w:rsid w:val="385C0264"/>
    <w:rsid w:val="685330A3"/>
    <w:rsid w:val="6B3117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1"/>
    <w:qFormat/>
    <w:uiPriority w:val="99"/>
    <w:pPr>
      <w:snapToGrid w:val="0"/>
      <w:spacing w:line="440" w:lineRule="exact"/>
    </w:pPr>
    <w:rPr>
      <w:rFonts w:eastAsia="Times New Roman"/>
      <w:sz w:val="20"/>
    </w:rPr>
  </w:style>
  <w:style w:type="paragraph" w:styleId="3">
    <w:name w:val="footer"/>
    <w:basedOn w:val="1"/>
    <w:link w:val="10"/>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null3"/>
    <w:hidden/>
    <w:qFormat/>
    <w:uiPriority w:val="0"/>
    <w:rPr>
      <w:rFonts w:hint="eastAsia" w:asciiTheme="minorHAnsi" w:hAnsiTheme="minorHAnsi" w:eastAsiaTheme="minorEastAsia" w:cstheme="minorBidi"/>
      <w:lang w:val="en-US" w:eastAsia="zh-Hans" w:bidi="ar-SA"/>
    </w:rPr>
  </w:style>
  <w:style w:type="character" w:customStyle="1" w:styleId="9">
    <w:name w:val="页眉 Char"/>
    <w:basedOn w:val="7"/>
    <w:link w:val="4"/>
    <w:qFormat/>
    <w:uiPriority w:val="0"/>
    <w:rPr>
      <w:rFonts w:ascii="Times New Roman" w:hAnsi="Times New Roman" w:eastAsia="宋体" w:cs="Times New Roman"/>
      <w:kern w:val="2"/>
      <w:sz w:val="18"/>
      <w:szCs w:val="18"/>
    </w:rPr>
  </w:style>
  <w:style w:type="character" w:customStyle="1" w:styleId="10">
    <w:name w:val="页脚 Char"/>
    <w:basedOn w:val="7"/>
    <w:link w:val="3"/>
    <w:uiPriority w:val="0"/>
    <w:rPr>
      <w:rFonts w:ascii="Times New Roman" w:hAnsi="Times New Roman" w:eastAsia="宋体" w:cs="Times New Roman"/>
      <w:kern w:val="2"/>
      <w:sz w:val="18"/>
      <w:szCs w:val="18"/>
    </w:rPr>
  </w:style>
  <w:style w:type="character" w:customStyle="1" w:styleId="11">
    <w:name w:val="正文文本 Char"/>
    <w:basedOn w:val="7"/>
    <w:link w:val="2"/>
    <w:uiPriority w:val="99"/>
    <w:rPr>
      <w:rFonts w:ascii="Times New Roman" w:hAnsi="Times New Roman" w:eastAsia="Times New Roman" w:cs="Times New Roman"/>
      <w:kern w:val="2"/>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4109</Words>
  <Characters>4252</Characters>
  <Lines>33</Lines>
  <Paragraphs>9</Paragraphs>
  <TotalTime>0</TotalTime>
  <ScaleCrop>false</ScaleCrop>
  <LinksUpToDate>false</LinksUpToDate>
  <CharactersWithSpaces>4261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郑yueJun</cp:lastModifiedBy>
  <dcterms:modified xsi:type="dcterms:W3CDTF">2025-04-16T07:50:30Z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eyJoZGlkIjoiNWU1ZTcyN2UzZTk4NzhhZTBlZTMzNDViODhkOGE4YmUiLCJ1c2VySWQiOiI0MzgyMTYwMzgifQ==</vt:lpwstr>
  </property>
  <property fmtid="{D5CDD505-2E9C-101B-9397-08002B2CF9AE}" pid="4" name="ICV">
    <vt:lpwstr>BAEA73D73D4D4F53B8F4549D5A48FA9E_13</vt:lpwstr>
  </property>
</Properties>
</file>