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EB344">
      <w:pPr>
        <w:pStyle w:val="8"/>
        <w:jc w:val="center"/>
        <w:outlineLvl w:val="0"/>
        <w:rPr>
          <w:rFonts w:hint="default" w:ascii="仿宋" w:hAnsi="仿宋" w:eastAsia="仿宋" w:cs="仿宋"/>
        </w:rPr>
      </w:pPr>
      <w:bookmarkStart w:id="0" w:name="_Toc27801"/>
      <w:r>
        <w:rPr>
          <w:rFonts w:ascii="仿宋" w:hAnsi="仿宋" w:eastAsia="仿宋" w:cs="仿宋"/>
          <w:b/>
          <w:sz w:val="36"/>
        </w:rPr>
        <w:t>第三章 技术、服务及其他要求</w:t>
      </w:r>
      <w:bookmarkEnd w:id="0"/>
    </w:p>
    <w:p w14:paraId="532FAC3F">
      <w:pPr>
        <w:pStyle w:val="8"/>
        <w:ind w:firstLine="480"/>
        <w:rPr>
          <w:rFonts w:hint="default" w:ascii="仿宋" w:hAnsi="仿宋" w:eastAsia="仿宋" w:cs="仿宋"/>
        </w:rPr>
      </w:pPr>
      <w:r>
        <w:rPr>
          <w:rFonts w:ascii="仿宋" w:hAnsi="仿宋" w:eastAsia="仿宋" w:cs="仿宋"/>
        </w:rPr>
        <w:t>（注：本章的技术、服务及其他要求中，带“★”的要求为实质性要求。</w:t>
      </w:r>
      <w:r>
        <w:rPr>
          <w:rFonts w:ascii="仿宋" w:hAnsi="仿宋" w:eastAsia="仿宋" w:cs="仿宋"/>
          <w:lang w:eastAsia="zh-CN"/>
        </w:rPr>
        <w:t>采购人</w:t>
      </w:r>
      <w:r>
        <w:rPr>
          <w:rFonts w:ascii="仿宋" w:hAnsi="仿宋" w:eastAsia="仿宋" w:cs="仿宋"/>
        </w:rPr>
        <w:t>、代理机构应当根据项目实际要求合理设定，并在第五章符合性审查中明确响应要求。）</w:t>
      </w:r>
    </w:p>
    <w:p w14:paraId="2AAB776E">
      <w:pPr>
        <w:pStyle w:val="8"/>
        <w:outlineLvl w:val="1"/>
        <w:rPr>
          <w:rFonts w:hint="default" w:ascii="仿宋" w:hAnsi="仿宋" w:eastAsia="仿宋" w:cs="仿宋"/>
          <w:lang w:eastAsia="zh-CN"/>
        </w:rPr>
      </w:pPr>
      <w:r>
        <w:rPr>
          <w:rFonts w:ascii="仿宋" w:hAnsi="仿宋" w:eastAsia="仿宋" w:cs="仿宋"/>
          <w:b/>
          <w:sz w:val="28"/>
        </w:rPr>
        <w:t>3.1.</w:t>
      </w:r>
      <w:r>
        <w:rPr>
          <w:rFonts w:ascii="仿宋" w:hAnsi="仿宋" w:eastAsia="仿宋" w:cs="仿宋"/>
          <w:b/>
          <w:sz w:val="28"/>
          <w:lang w:eastAsia="zh-CN"/>
        </w:rPr>
        <w:t>标的情况</w:t>
      </w:r>
    </w:p>
    <w:p w14:paraId="521553ED">
      <w:pPr>
        <w:pStyle w:val="8"/>
        <w:outlineLvl w:val="2"/>
        <w:rPr>
          <w:rFonts w:hint="default" w:ascii="仿宋" w:hAnsi="仿宋" w:eastAsia="仿宋" w:cs="仿宋"/>
          <w:b/>
          <w:bCs/>
          <w:sz w:val="24"/>
          <w:szCs w:val="24"/>
        </w:rPr>
      </w:pPr>
      <w:r>
        <w:rPr>
          <w:rFonts w:ascii="仿宋" w:hAnsi="仿宋" w:eastAsia="仿宋" w:cs="仿宋"/>
          <w:b/>
          <w:bCs/>
          <w:sz w:val="24"/>
          <w:szCs w:val="24"/>
        </w:rPr>
        <w:t>采购</w:t>
      </w:r>
      <w:r>
        <w:rPr>
          <w:rFonts w:hint="eastAsia" w:ascii="仿宋" w:hAnsi="仿宋" w:eastAsia="仿宋" w:cs="仿宋"/>
          <w:b/>
          <w:bCs/>
          <w:sz w:val="24"/>
          <w:szCs w:val="24"/>
          <w:lang w:eastAsia="zh-CN"/>
        </w:rPr>
        <w:t>包1</w:t>
      </w:r>
      <w:r>
        <w:rPr>
          <w:rFonts w:ascii="仿宋" w:hAnsi="仿宋" w:eastAsia="仿宋" w:cs="仿宋"/>
          <w:b/>
          <w:bCs/>
          <w:sz w:val="24"/>
          <w:szCs w:val="24"/>
        </w:rPr>
        <w:t>：</w:t>
      </w:r>
    </w:p>
    <w:p w14:paraId="72E39617">
      <w:pPr>
        <w:pStyle w:val="8"/>
        <w:ind w:firstLine="480"/>
        <w:jc w:val="both"/>
        <w:rPr>
          <w:rFonts w:hint="default" w:ascii="仿宋" w:hAnsi="仿宋" w:eastAsia="仿宋" w:cs="仿宋"/>
          <w:b/>
          <w:bCs/>
          <w:sz w:val="24"/>
          <w:szCs w:val="24"/>
        </w:rPr>
      </w:pPr>
      <w:r>
        <w:rPr>
          <w:rFonts w:ascii="仿宋" w:hAnsi="仿宋" w:eastAsia="仿宋" w:cs="仿宋"/>
        </w:rPr>
        <w:t>★</w:t>
      </w:r>
      <w:r>
        <w:rPr>
          <w:rFonts w:ascii="仿宋" w:hAnsi="仿宋" w:eastAsia="仿宋" w:cs="仿宋"/>
          <w:lang w:eastAsia="zh-CN"/>
        </w:rPr>
        <w:t>本项目提供的产品，必须为“四川省药品和医用耗材招采管理系统”中已挂网产品（不含正在挂网和备案的产品）。</w:t>
      </w:r>
    </w:p>
    <w:tbl>
      <w:tblPr>
        <w:tblStyle w:val="5"/>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5"/>
        <w:gridCol w:w="2042"/>
        <w:gridCol w:w="1382"/>
        <w:gridCol w:w="1384"/>
        <w:gridCol w:w="1384"/>
        <w:gridCol w:w="1384"/>
      </w:tblGrid>
      <w:tr w14:paraId="63E83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44" w:type="pct"/>
            <w:vAlign w:val="center"/>
          </w:tcPr>
          <w:p w14:paraId="57BCC9B5">
            <w:pPr>
              <w:pStyle w:val="8"/>
              <w:jc w:val="center"/>
              <w:rPr>
                <w:rFonts w:hint="default" w:ascii="仿宋" w:hAnsi="仿宋" w:eastAsia="仿宋" w:cs="仿宋"/>
                <w:lang w:eastAsia="zh-CN"/>
              </w:rPr>
            </w:pPr>
            <w:r>
              <w:rPr>
                <w:rFonts w:ascii="仿宋" w:hAnsi="仿宋" w:eastAsia="仿宋" w:cs="仿宋"/>
                <w:lang w:eastAsia="zh-CN"/>
              </w:rPr>
              <w:t>包号</w:t>
            </w:r>
          </w:p>
        </w:tc>
        <w:tc>
          <w:tcPr>
            <w:tcW w:w="308" w:type="pct"/>
            <w:vAlign w:val="center"/>
          </w:tcPr>
          <w:p w14:paraId="4DF4BA61">
            <w:pPr>
              <w:pStyle w:val="8"/>
              <w:jc w:val="center"/>
              <w:rPr>
                <w:rFonts w:hint="default" w:ascii="仿宋" w:hAnsi="仿宋" w:eastAsia="仿宋" w:cs="仿宋"/>
                <w:lang w:eastAsia="zh-CN"/>
              </w:rPr>
            </w:pPr>
            <w:r>
              <w:rPr>
                <w:rFonts w:ascii="仿宋" w:hAnsi="仿宋" w:eastAsia="仿宋" w:cs="仿宋"/>
                <w:lang w:eastAsia="zh-CN"/>
              </w:rPr>
              <w:t>编号</w:t>
            </w:r>
          </w:p>
        </w:tc>
        <w:tc>
          <w:tcPr>
            <w:tcW w:w="1198" w:type="pct"/>
            <w:vAlign w:val="center"/>
          </w:tcPr>
          <w:p w14:paraId="74855204">
            <w:pPr>
              <w:pStyle w:val="8"/>
              <w:jc w:val="center"/>
              <w:rPr>
                <w:rFonts w:hint="default" w:ascii="仿宋" w:hAnsi="仿宋" w:eastAsia="仿宋" w:cs="仿宋"/>
                <w:lang w:eastAsia="zh-CN"/>
              </w:rPr>
            </w:pPr>
            <w:r>
              <w:rPr>
                <w:rFonts w:ascii="仿宋" w:hAnsi="仿宋" w:eastAsia="仿宋" w:cs="仿宋"/>
                <w:lang w:eastAsia="zh-CN"/>
              </w:rPr>
              <w:t>标的名称</w:t>
            </w:r>
          </w:p>
        </w:tc>
        <w:tc>
          <w:tcPr>
            <w:tcW w:w="811" w:type="pct"/>
            <w:vAlign w:val="center"/>
          </w:tcPr>
          <w:p w14:paraId="597A964C">
            <w:pPr>
              <w:pStyle w:val="8"/>
              <w:jc w:val="center"/>
              <w:rPr>
                <w:rFonts w:hint="default" w:ascii="仿宋" w:hAnsi="仿宋" w:eastAsia="仿宋" w:cs="仿宋"/>
                <w:lang w:eastAsia="zh-CN"/>
              </w:rPr>
            </w:pPr>
            <w:r>
              <w:rPr>
                <w:rFonts w:ascii="仿宋" w:hAnsi="仿宋" w:eastAsia="仿宋" w:cs="仿宋"/>
              </w:rPr>
              <w:t>★</w:t>
            </w:r>
            <w:r>
              <w:rPr>
                <w:rFonts w:ascii="仿宋" w:hAnsi="仿宋" w:eastAsia="仿宋" w:cs="仿宋"/>
                <w:lang w:eastAsia="zh-CN"/>
              </w:rPr>
              <w:t>单价限价（元）</w:t>
            </w:r>
          </w:p>
        </w:tc>
        <w:tc>
          <w:tcPr>
            <w:tcW w:w="812" w:type="pct"/>
            <w:vAlign w:val="center"/>
          </w:tcPr>
          <w:p w14:paraId="42A6099B">
            <w:pPr>
              <w:pStyle w:val="8"/>
              <w:jc w:val="center"/>
              <w:rPr>
                <w:rFonts w:hint="default" w:ascii="仿宋" w:hAnsi="仿宋" w:eastAsia="仿宋" w:cs="仿宋"/>
                <w:lang w:eastAsia="zh-CN"/>
              </w:rPr>
            </w:pPr>
            <w:r>
              <w:rPr>
                <w:rFonts w:ascii="仿宋" w:hAnsi="仿宋" w:eastAsia="仿宋" w:cs="仿宋"/>
                <w:lang w:eastAsia="zh-CN"/>
              </w:rPr>
              <w:t>预计数量</w:t>
            </w:r>
          </w:p>
        </w:tc>
        <w:tc>
          <w:tcPr>
            <w:tcW w:w="812" w:type="pct"/>
            <w:vAlign w:val="center"/>
          </w:tcPr>
          <w:p w14:paraId="11BB22ED">
            <w:pPr>
              <w:pStyle w:val="8"/>
              <w:jc w:val="center"/>
              <w:rPr>
                <w:rFonts w:hint="default" w:ascii="仿宋" w:hAnsi="仿宋" w:eastAsia="仿宋" w:cs="仿宋"/>
                <w:lang w:eastAsia="zh-CN"/>
              </w:rPr>
            </w:pPr>
            <w:r>
              <w:rPr>
                <w:rFonts w:ascii="仿宋" w:hAnsi="仿宋" w:eastAsia="仿宋" w:cs="仿宋"/>
              </w:rPr>
              <w:t>★</w:t>
            </w:r>
            <w:r>
              <w:rPr>
                <w:rFonts w:ascii="仿宋" w:hAnsi="仿宋" w:eastAsia="仿宋" w:cs="仿宋"/>
                <w:lang w:eastAsia="zh-CN"/>
              </w:rPr>
              <w:t>计量单位</w:t>
            </w:r>
          </w:p>
        </w:tc>
        <w:tc>
          <w:tcPr>
            <w:tcW w:w="812" w:type="pct"/>
            <w:vAlign w:val="center"/>
          </w:tcPr>
          <w:p w14:paraId="3DD7A63B">
            <w:pPr>
              <w:pStyle w:val="8"/>
              <w:jc w:val="center"/>
              <w:rPr>
                <w:rFonts w:hint="default" w:ascii="仿宋" w:hAnsi="仿宋" w:eastAsia="仿宋" w:cs="仿宋"/>
                <w:lang w:eastAsia="zh-CN"/>
              </w:rPr>
            </w:pPr>
            <w:r>
              <w:rPr>
                <w:rFonts w:ascii="仿宋" w:hAnsi="仿宋" w:eastAsia="仿宋" w:cs="仿宋"/>
                <w:lang w:eastAsia="zh-CN"/>
              </w:rPr>
              <w:t>预算金额/最高限价（每年）（元）</w:t>
            </w:r>
          </w:p>
        </w:tc>
      </w:tr>
      <w:tr w14:paraId="06858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C61A00E">
            <w:pPr>
              <w:pStyle w:val="8"/>
              <w:jc w:val="center"/>
              <w:rPr>
                <w:rFonts w:hint="default" w:ascii="仿宋" w:hAnsi="仿宋" w:eastAsia="仿宋" w:cs="仿宋"/>
                <w:sz w:val="21"/>
                <w:szCs w:val="21"/>
                <w:lang w:eastAsia="zh-CN"/>
              </w:rPr>
            </w:pPr>
            <w:r>
              <w:rPr>
                <w:rFonts w:hint="eastAsia" w:ascii="仿宋" w:hAnsi="仿宋" w:eastAsia="仿宋" w:cs="仿宋"/>
                <w:sz w:val="21"/>
                <w:szCs w:val="21"/>
                <w:lang w:val="en-US" w:eastAsia="zh-CN"/>
              </w:rPr>
              <w:t>1</w:t>
            </w:r>
          </w:p>
        </w:tc>
        <w:tc>
          <w:tcPr>
            <w:tcW w:w="308" w:type="pct"/>
            <w:vAlign w:val="center"/>
          </w:tcPr>
          <w:p w14:paraId="65B82A9F">
            <w:pPr>
              <w:pStyle w:val="8"/>
              <w:jc w:val="center"/>
              <w:rPr>
                <w:rFonts w:hint="default" w:ascii="仿宋" w:hAnsi="仿宋" w:eastAsia="仿宋" w:cs="仿宋"/>
                <w:lang w:eastAsia="zh-CN"/>
              </w:rPr>
            </w:pPr>
            <w:r>
              <w:rPr>
                <w:rFonts w:hint="eastAsia" w:ascii="仿宋" w:hAnsi="仿宋" w:eastAsia="仿宋" w:cs="仿宋"/>
                <w:lang w:val="en-US" w:eastAsia="zh-CN"/>
              </w:rPr>
              <w:t>1</w:t>
            </w:r>
          </w:p>
        </w:tc>
        <w:tc>
          <w:tcPr>
            <w:tcW w:w="1198" w:type="pct"/>
            <w:vAlign w:val="center"/>
          </w:tcPr>
          <w:p w14:paraId="1981EC8A">
            <w:pPr>
              <w:keepNext w:val="0"/>
              <w:keepLines w:val="0"/>
              <w:widowControl/>
              <w:suppressLineNumbers w:val="0"/>
              <w:jc w:val="center"/>
              <w:textAlignment w:val="center"/>
              <w:rPr>
                <w:rFonts w:hint="default" w:ascii="仿宋" w:hAnsi="仿宋" w:eastAsia="仿宋" w:cs="仿宋"/>
                <w:lang w:eastAsia="zh-CN"/>
              </w:rPr>
            </w:pPr>
            <w:r>
              <w:rPr>
                <w:rFonts w:hint="eastAsia" w:ascii="仿宋" w:hAnsi="仿宋" w:eastAsia="仿宋" w:cs="仿宋"/>
                <w:i w:val="0"/>
                <w:iCs w:val="0"/>
                <w:color w:val="000000"/>
                <w:kern w:val="0"/>
                <w:sz w:val="20"/>
                <w:szCs w:val="20"/>
                <w:u w:val="none"/>
                <w:lang w:val="en-US" w:eastAsia="zh-CN" w:bidi="ar"/>
              </w:rPr>
              <w:t>血液回收分离机专用耗材</w:t>
            </w:r>
          </w:p>
        </w:tc>
        <w:tc>
          <w:tcPr>
            <w:tcW w:w="811" w:type="pct"/>
            <w:vAlign w:val="center"/>
          </w:tcPr>
          <w:p w14:paraId="0E3FA068">
            <w:pPr>
              <w:keepNext w:val="0"/>
              <w:keepLines w:val="0"/>
              <w:widowControl/>
              <w:suppressLineNumbers w:val="0"/>
              <w:jc w:val="center"/>
              <w:textAlignment w:val="center"/>
              <w:rPr>
                <w:rFonts w:hint="default" w:ascii="仿宋" w:hAnsi="仿宋" w:eastAsia="仿宋" w:cs="仿宋"/>
                <w:lang w:eastAsia="zh-CN"/>
              </w:rPr>
            </w:pPr>
            <w:r>
              <w:rPr>
                <w:rFonts w:hint="eastAsia" w:ascii="仿宋" w:hAnsi="仿宋" w:eastAsia="仿宋" w:cs="仿宋"/>
                <w:i w:val="0"/>
                <w:iCs w:val="0"/>
                <w:color w:val="000000"/>
                <w:kern w:val="0"/>
                <w:sz w:val="22"/>
                <w:szCs w:val="22"/>
                <w:u w:val="none"/>
                <w:lang w:val="en-US" w:eastAsia="zh-CN" w:bidi="ar"/>
              </w:rPr>
              <w:t>1958</w:t>
            </w:r>
          </w:p>
        </w:tc>
        <w:tc>
          <w:tcPr>
            <w:tcW w:w="812" w:type="pct"/>
            <w:vAlign w:val="center"/>
          </w:tcPr>
          <w:p w14:paraId="143786A5">
            <w:pPr>
              <w:keepNext w:val="0"/>
              <w:keepLines w:val="0"/>
              <w:widowControl/>
              <w:suppressLineNumbers w:val="0"/>
              <w:jc w:val="center"/>
              <w:textAlignment w:val="center"/>
              <w:rPr>
                <w:rFonts w:hint="default" w:ascii="仿宋" w:hAnsi="仿宋" w:eastAsia="仿宋" w:cs="仿宋"/>
                <w:lang w:eastAsia="zh-CN"/>
              </w:rPr>
            </w:pPr>
            <w:r>
              <w:rPr>
                <w:rFonts w:hint="eastAsia" w:ascii="仿宋" w:hAnsi="仿宋" w:eastAsia="仿宋" w:cs="仿宋"/>
                <w:i w:val="0"/>
                <w:iCs w:val="0"/>
                <w:color w:val="000000"/>
                <w:kern w:val="0"/>
                <w:sz w:val="22"/>
                <w:szCs w:val="22"/>
                <w:u w:val="none"/>
                <w:lang w:val="en-US" w:eastAsia="zh-CN" w:bidi="ar"/>
              </w:rPr>
              <w:t>50/年</w:t>
            </w:r>
          </w:p>
        </w:tc>
        <w:tc>
          <w:tcPr>
            <w:tcW w:w="812" w:type="pct"/>
            <w:vAlign w:val="center"/>
          </w:tcPr>
          <w:p w14:paraId="5EE04761">
            <w:pPr>
              <w:keepNext w:val="0"/>
              <w:keepLines w:val="0"/>
              <w:widowControl/>
              <w:suppressLineNumbers w:val="0"/>
              <w:jc w:val="center"/>
              <w:textAlignment w:val="center"/>
              <w:rPr>
                <w:rFonts w:hint="default" w:ascii="仿宋" w:hAnsi="仿宋" w:eastAsia="仿宋" w:cs="仿宋"/>
                <w:lang w:eastAsia="zh-CN"/>
              </w:rPr>
            </w:pPr>
            <w:r>
              <w:rPr>
                <w:rFonts w:hint="eastAsia" w:ascii="仿宋" w:hAnsi="仿宋" w:eastAsia="仿宋" w:cs="仿宋"/>
                <w:b w:val="0"/>
                <w:bCs w:val="0"/>
                <w:color w:val="auto"/>
                <w:sz w:val="20"/>
                <w:szCs w:val="20"/>
                <w:highlight w:val="none"/>
                <w:shd w:val="clear" w:color="auto" w:fill="auto"/>
                <w:lang w:val="en-US" w:eastAsia="zh-CN"/>
              </w:rPr>
              <w:t>套</w:t>
            </w:r>
          </w:p>
        </w:tc>
        <w:tc>
          <w:tcPr>
            <w:tcW w:w="812" w:type="pct"/>
            <w:vAlign w:val="center"/>
          </w:tcPr>
          <w:p w14:paraId="772571A0">
            <w:pPr>
              <w:keepNext w:val="0"/>
              <w:keepLines w:val="0"/>
              <w:widowControl/>
              <w:suppressLineNumbers w:val="0"/>
              <w:jc w:val="center"/>
              <w:textAlignment w:val="center"/>
              <w:rPr>
                <w:rFonts w:hint="default" w:ascii="仿宋" w:hAnsi="仿宋" w:eastAsia="仿宋" w:cs="仿宋"/>
                <w:lang w:eastAsia="zh-CN"/>
              </w:rPr>
            </w:pPr>
            <w:r>
              <w:rPr>
                <w:rFonts w:hint="eastAsia" w:ascii="仿宋" w:hAnsi="仿宋" w:eastAsia="仿宋" w:cs="仿宋"/>
                <w:i w:val="0"/>
                <w:iCs w:val="0"/>
                <w:color w:val="000000"/>
                <w:kern w:val="0"/>
                <w:sz w:val="22"/>
                <w:szCs w:val="22"/>
                <w:u w:val="none"/>
                <w:lang w:val="en-US" w:eastAsia="zh-CN" w:bidi="ar"/>
              </w:rPr>
              <w:t>97900/年</w:t>
            </w:r>
          </w:p>
        </w:tc>
      </w:tr>
    </w:tbl>
    <w:p w14:paraId="4F80B4EC">
      <w:pPr>
        <w:pStyle w:val="8"/>
        <w:ind w:firstLine="480"/>
        <w:rPr>
          <w:rFonts w:hint="default" w:ascii="仿宋" w:hAnsi="仿宋" w:eastAsia="仿宋" w:cs="仿宋"/>
        </w:rPr>
      </w:pPr>
    </w:p>
    <w:p w14:paraId="184D946A">
      <w:pPr>
        <w:pStyle w:val="8"/>
        <w:ind w:firstLine="480"/>
        <w:rPr>
          <w:rFonts w:hint="default" w:ascii="仿宋" w:hAnsi="仿宋" w:eastAsia="仿宋" w:cs="仿宋"/>
        </w:rPr>
      </w:pPr>
      <w:r>
        <w:rPr>
          <w:rFonts w:ascii="仿宋" w:hAnsi="仿宋" w:eastAsia="仿宋" w:cs="仿宋"/>
        </w:rPr>
        <w:t>★注：</w:t>
      </w:r>
      <w:r>
        <w:rPr>
          <w:rFonts w:ascii="仿宋" w:hAnsi="仿宋" w:eastAsia="仿宋" w:cs="仿宋"/>
          <w:lang w:eastAsia="zh-CN"/>
        </w:rPr>
        <w:t>竞选人</w:t>
      </w:r>
      <w:r>
        <w:rPr>
          <w:rFonts w:ascii="仿宋" w:hAnsi="仿宋" w:eastAsia="仿宋" w:cs="仿宋"/>
        </w:rPr>
        <w:t>响应产品应当明确品牌和规格型号并指向唯一产品，不能指向唯一产品的，应通过报价表唯一产品说明栏补充说明。</w:t>
      </w:r>
    </w:p>
    <w:p w14:paraId="3EB7CDD0">
      <w:pPr>
        <w:pStyle w:val="8"/>
        <w:rPr>
          <w:rFonts w:hint="default" w:ascii="仿宋" w:hAnsi="仿宋" w:eastAsia="仿宋" w:cs="仿宋"/>
        </w:rPr>
      </w:pPr>
    </w:p>
    <w:p w14:paraId="6D98D17A">
      <w:pPr>
        <w:pStyle w:val="8"/>
        <w:outlineLvl w:val="1"/>
        <w:rPr>
          <w:rFonts w:hint="default" w:ascii="仿宋" w:hAnsi="仿宋" w:eastAsia="仿宋" w:cs="仿宋"/>
          <w:lang w:eastAsia="zh-CN"/>
        </w:rPr>
      </w:pPr>
      <w:r>
        <w:rPr>
          <w:rFonts w:ascii="仿宋" w:hAnsi="仿宋" w:eastAsia="仿宋" w:cs="仿宋"/>
          <w:b/>
          <w:sz w:val="28"/>
        </w:rPr>
        <w:t>3.2.技术要求</w:t>
      </w:r>
    </w:p>
    <w:p w14:paraId="434DD486">
      <w:pPr>
        <w:pStyle w:val="8"/>
        <w:outlineLvl w:val="2"/>
        <w:rPr>
          <w:rFonts w:hint="default" w:ascii="仿宋" w:hAnsi="仿宋" w:eastAsia="仿宋" w:cs="仿宋"/>
          <w:b/>
          <w:bCs/>
          <w:sz w:val="22"/>
          <w:szCs w:val="22"/>
        </w:rPr>
      </w:pPr>
      <w:r>
        <w:rPr>
          <w:rFonts w:ascii="仿宋" w:hAnsi="仿宋" w:eastAsia="仿宋" w:cs="仿宋"/>
          <w:b/>
          <w:bCs/>
          <w:sz w:val="22"/>
          <w:szCs w:val="22"/>
        </w:rPr>
        <w:t>采购</w:t>
      </w:r>
      <w:r>
        <w:rPr>
          <w:rFonts w:hint="eastAsia" w:ascii="仿宋" w:hAnsi="仿宋" w:eastAsia="仿宋" w:cs="仿宋"/>
          <w:b/>
          <w:bCs/>
          <w:sz w:val="22"/>
          <w:szCs w:val="22"/>
          <w:lang w:eastAsia="zh-CN"/>
        </w:rPr>
        <w:t>包1</w:t>
      </w:r>
      <w:r>
        <w:rPr>
          <w:rFonts w:ascii="仿宋" w:hAnsi="仿宋" w:eastAsia="仿宋" w:cs="仿宋"/>
          <w:b/>
          <w:bCs/>
          <w:sz w:val="22"/>
          <w:szCs w:val="22"/>
        </w:rPr>
        <w:t>：</w:t>
      </w:r>
    </w:p>
    <w:tbl>
      <w:tblPr>
        <w:tblStyle w:val="5"/>
        <w:tblW w:w="91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7"/>
        <w:gridCol w:w="882"/>
        <w:gridCol w:w="1114"/>
        <w:gridCol w:w="1729"/>
        <w:gridCol w:w="2132"/>
        <w:gridCol w:w="1914"/>
        <w:gridCol w:w="801"/>
      </w:tblGrid>
      <w:tr w14:paraId="1B8BC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59" w:hRule="atLeast"/>
        </w:trPr>
        <w:tc>
          <w:tcPr>
            <w:tcW w:w="607" w:type="dxa"/>
            <w:vAlign w:val="center"/>
          </w:tcPr>
          <w:p w14:paraId="62A78653">
            <w:pPr>
              <w:pStyle w:val="8"/>
              <w:jc w:val="center"/>
              <w:rPr>
                <w:rFonts w:hint="default" w:ascii="仿宋" w:hAnsi="仿宋" w:eastAsia="仿宋" w:cs="仿宋"/>
              </w:rPr>
            </w:pPr>
            <w:r>
              <w:rPr>
                <w:rFonts w:ascii="仿宋" w:hAnsi="仿宋" w:eastAsia="仿宋" w:cs="仿宋"/>
              </w:rPr>
              <w:t>序号</w:t>
            </w:r>
          </w:p>
        </w:tc>
        <w:tc>
          <w:tcPr>
            <w:tcW w:w="882" w:type="dxa"/>
            <w:vAlign w:val="center"/>
          </w:tcPr>
          <w:p w14:paraId="1B506D2D">
            <w:pPr>
              <w:spacing w:line="400" w:lineRule="exact"/>
              <w:jc w:val="center"/>
              <w:rPr>
                <w:rFonts w:ascii="仿宋" w:hAnsi="仿宋" w:eastAsia="仿宋" w:cs="仿宋"/>
              </w:rPr>
            </w:pPr>
            <w:r>
              <w:rPr>
                <w:rFonts w:hint="eastAsia" w:ascii="仿宋" w:hAnsi="仿宋" w:eastAsia="仿宋" w:cs="仿宋"/>
                <w:kern w:val="0"/>
                <w:sz w:val="20"/>
                <w:szCs w:val="20"/>
              </w:rPr>
              <w:t>名称</w:t>
            </w:r>
          </w:p>
        </w:tc>
        <w:tc>
          <w:tcPr>
            <w:tcW w:w="1114" w:type="dxa"/>
            <w:vAlign w:val="center"/>
          </w:tcPr>
          <w:p w14:paraId="4745C257">
            <w:pPr>
              <w:spacing w:line="400" w:lineRule="exact"/>
              <w:jc w:val="center"/>
              <w:rPr>
                <w:rFonts w:ascii="仿宋" w:hAnsi="仿宋" w:eastAsia="仿宋" w:cs="仿宋"/>
                <w:kern w:val="0"/>
                <w:sz w:val="20"/>
                <w:szCs w:val="20"/>
              </w:rPr>
            </w:pPr>
            <w:r>
              <w:rPr>
                <w:rFonts w:ascii="仿宋" w:hAnsi="仿宋" w:eastAsia="仿宋" w:cs="仿宋"/>
                <w:kern w:val="0"/>
                <w:sz w:val="20"/>
                <w:szCs w:val="20"/>
              </w:rPr>
              <w:t>★医保耗材代码</w:t>
            </w:r>
          </w:p>
        </w:tc>
        <w:tc>
          <w:tcPr>
            <w:tcW w:w="1729" w:type="dxa"/>
            <w:vAlign w:val="center"/>
          </w:tcPr>
          <w:p w14:paraId="258F5100">
            <w:pPr>
              <w:spacing w:line="400" w:lineRule="exact"/>
              <w:jc w:val="center"/>
              <w:rPr>
                <w:rFonts w:ascii="仿宋" w:hAnsi="仿宋" w:eastAsia="仿宋" w:cs="仿宋"/>
                <w:kern w:val="0"/>
                <w:sz w:val="20"/>
                <w:szCs w:val="20"/>
              </w:rPr>
            </w:pPr>
            <w:r>
              <w:rPr>
                <w:rFonts w:ascii="仿宋" w:hAnsi="仿宋" w:eastAsia="仿宋" w:cs="仿宋"/>
                <w:kern w:val="0"/>
                <w:sz w:val="20"/>
                <w:szCs w:val="20"/>
              </w:rPr>
              <w:t>★</w:t>
            </w:r>
            <w:r>
              <w:rPr>
                <w:rFonts w:hint="eastAsia" w:ascii="仿宋" w:hAnsi="仿宋" w:eastAsia="仿宋" w:cs="仿宋"/>
                <w:kern w:val="0"/>
                <w:sz w:val="20"/>
                <w:szCs w:val="20"/>
              </w:rPr>
              <w:t>适应症</w:t>
            </w:r>
            <w:r>
              <w:rPr>
                <w:rFonts w:hint="eastAsia" w:ascii="仿宋" w:hAnsi="仿宋" w:eastAsia="仿宋" w:cs="仿宋"/>
                <w:kern w:val="0"/>
                <w:sz w:val="20"/>
                <w:szCs w:val="20"/>
                <w:lang w:val="en-US" w:eastAsia="zh-CN"/>
              </w:rPr>
              <w:t>/</w:t>
            </w:r>
            <w:r>
              <w:rPr>
                <w:rFonts w:hint="eastAsia" w:ascii="仿宋" w:hAnsi="仿宋" w:eastAsia="仿宋" w:cs="仿宋"/>
                <w:kern w:val="0"/>
                <w:sz w:val="20"/>
                <w:szCs w:val="20"/>
              </w:rPr>
              <w:t>用途</w:t>
            </w:r>
          </w:p>
        </w:tc>
        <w:tc>
          <w:tcPr>
            <w:tcW w:w="2132" w:type="dxa"/>
            <w:vAlign w:val="center"/>
          </w:tcPr>
          <w:p w14:paraId="7AB62301">
            <w:pPr>
              <w:spacing w:line="400" w:lineRule="exact"/>
              <w:jc w:val="center"/>
              <w:rPr>
                <w:rFonts w:ascii="仿宋" w:hAnsi="仿宋" w:eastAsia="仿宋" w:cs="仿宋"/>
              </w:rPr>
            </w:pPr>
            <w:r>
              <w:rPr>
                <w:rFonts w:hint="default" w:ascii="楷体" w:hAnsi="楷体" w:eastAsia="楷体" w:cs="楷体"/>
                <w:b w:val="0"/>
                <w:bCs w:val="0"/>
                <w:color w:val="auto"/>
                <w:sz w:val="24"/>
                <w:szCs w:val="24"/>
                <w:highlight w:val="none"/>
                <w:shd w:val="clear" w:color="auto" w:fill="auto"/>
                <w:lang w:val="en-US" w:eastAsia="zh-CN"/>
              </w:rPr>
              <w:t>★适配机型</w:t>
            </w:r>
          </w:p>
        </w:tc>
        <w:tc>
          <w:tcPr>
            <w:tcW w:w="1914" w:type="dxa"/>
            <w:vAlign w:val="center"/>
          </w:tcPr>
          <w:p w14:paraId="18FF84D8">
            <w:pPr>
              <w:spacing w:line="400" w:lineRule="exact"/>
              <w:jc w:val="center"/>
              <w:rPr>
                <w:rFonts w:hint="eastAsia" w:ascii="仿宋" w:hAnsi="仿宋" w:eastAsia="仿宋" w:cs="仿宋"/>
                <w:kern w:val="0"/>
                <w:sz w:val="20"/>
                <w:szCs w:val="20"/>
              </w:rPr>
            </w:pPr>
            <w:r>
              <w:rPr>
                <w:rFonts w:hint="default" w:ascii="楷体" w:hAnsi="楷体" w:eastAsia="楷体" w:cs="楷体"/>
                <w:b w:val="0"/>
                <w:bCs w:val="0"/>
                <w:color w:val="auto"/>
                <w:sz w:val="24"/>
                <w:szCs w:val="24"/>
                <w:highlight w:val="none"/>
                <w:shd w:val="clear" w:color="auto" w:fill="auto"/>
                <w:lang w:val="en-US" w:eastAsia="zh-CN"/>
              </w:rPr>
              <w:t>参考型号/规格</w:t>
            </w:r>
          </w:p>
        </w:tc>
        <w:tc>
          <w:tcPr>
            <w:tcW w:w="801" w:type="dxa"/>
            <w:vAlign w:val="center"/>
          </w:tcPr>
          <w:p w14:paraId="3B196D9F">
            <w:pPr>
              <w:spacing w:line="400" w:lineRule="exact"/>
              <w:jc w:val="center"/>
              <w:rPr>
                <w:rFonts w:ascii="仿宋" w:hAnsi="仿宋" w:eastAsia="仿宋" w:cs="仿宋"/>
                <w:highlight w:val="yellow"/>
              </w:rPr>
            </w:pPr>
            <w:r>
              <w:rPr>
                <w:rFonts w:hint="eastAsia" w:ascii="仿宋" w:hAnsi="仿宋" w:eastAsia="仿宋" w:cs="仿宋"/>
                <w:kern w:val="0"/>
                <w:sz w:val="20"/>
                <w:szCs w:val="20"/>
              </w:rPr>
              <w:t>★</w:t>
            </w:r>
            <w:r>
              <w:rPr>
                <w:rFonts w:ascii="仿宋" w:hAnsi="仿宋" w:eastAsia="仿宋" w:cs="仿宋"/>
                <w:kern w:val="0"/>
                <w:sz w:val="20"/>
                <w:szCs w:val="20"/>
              </w:rPr>
              <w:t>是否提供样品</w:t>
            </w:r>
          </w:p>
        </w:tc>
      </w:tr>
      <w:tr w14:paraId="51D35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2" w:hRule="atLeast"/>
        </w:trPr>
        <w:tc>
          <w:tcPr>
            <w:tcW w:w="607" w:type="dxa"/>
            <w:vAlign w:val="center"/>
          </w:tcPr>
          <w:p w14:paraId="50915115">
            <w:pPr>
              <w:spacing w:line="400" w:lineRule="exact"/>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1-1</w:t>
            </w:r>
          </w:p>
        </w:tc>
        <w:tc>
          <w:tcPr>
            <w:tcW w:w="882" w:type="dxa"/>
            <w:vAlign w:val="center"/>
          </w:tcPr>
          <w:p w14:paraId="4BB35C46">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lang w:val="en-US" w:eastAsia="zh-CN"/>
              </w:rPr>
              <w:t>血液回收分离机专用耗材</w:t>
            </w:r>
          </w:p>
        </w:tc>
        <w:tc>
          <w:tcPr>
            <w:tcW w:w="1114" w:type="dxa"/>
            <w:vAlign w:val="center"/>
          </w:tcPr>
          <w:p w14:paraId="2358A049">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lang w:val="en-US" w:eastAsia="zh-CN"/>
              </w:rPr>
              <w:t>C100601010</w:t>
            </w:r>
          </w:p>
        </w:tc>
        <w:tc>
          <w:tcPr>
            <w:tcW w:w="1729" w:type="dxa"/>
            <w:vAlign w:val="center"/>
          </w:tcPr>
          <w:p w14:paraId="716D93F7">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lang w:val="en-US" w:eastAsia="zh-CN"/>
              </w:rPr>
              <w:t>用于自体血液的回收或处理适用心血管外科、胸外科、骨科移植手术、急救(创伤科)、泌尿外科</w:t>
            </w:r>
          </w:p>
        </w:tc>
        <w:tc>
          <w:tcPr>
            <w:tcW w:w="2132" w:type="dxa"/>
            <w:vAlign w:val="center"/>
          </w:tcPr>
          <w:p w14:paraId="7231390A">
            <w:pPr>
              <w:spacing w:line="400" w:lineRule="exact"/>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机器名称：自体血液回收分离机；</w:t>
            </w:r>
          </w:p>
          <w:p w14:paraId="2BBEF2F7">
            <w:pPr>
              <w:spacing w:line="400" w:lineRule="exact"/>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品牌：理诺珐；</w:t>
            </w:r>
          </w:p>
          <w:p w14:paraId="6BF22E95">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lang w:val="en-US" w:eastAsia="zh-CN"/>
              </w:rPr>
              <w:t>型号：XTRA</w:t>
            </w:r>
          </w:p>
        </w:tc>
        <w:tc>
          <w:tcPr>
            <w:tcW w:w="1914" w:type="dxa"/>
            <w:vAlign w:val="center"/>
          </w:tcPr>
          <w:p w14:paraId="1FC2D6FE">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lang w:val="en-US" w:eastAsia="zh-CN"/>
              </w:rPr>
              <w:t>离心杯型号55ml，125ml，175ml，225m1。</w:t>
            </w:r>
          </w:p>
        </w:tc>
        <w:tc>
          <w:tcPr>
            <w:tcW w:w="801" w:type="dxa"/>
            <w:vAlign w:val="center"/>
          </w:tcPr>
          <w:p w14:paraId="55A68180">
            <w:pPr>
              <w:spacing w:line="400" w:lineRule="exact"/>
              <w:jc w:val="center"/>
              <w:rPr>
                <w:rFonts w:ascii="仿宋" w:hAnsi="仿宋" w:eastAsia="仿宋" w:cs="仿宋"/>
                <w:kern w:val="0"/>
                <w:sz w:val="20"/>
                <w:szCs w:val="20"/>
              </w:rPr>
            </w:pPr>
          </w:p>
          <w:p w14:paraId="3047DC30">
            <w:pPr>
              <w:spacing w:line="400" w:lineRule="exact"/>
              <w:jc w:val="center"/>
              <w:rPr>
                <w:rFonts w:ascii="仿宋" w:hAnsi="仿宋" w:eastAsia="仿宋" w:cs="仿宋"/>
                <w:kern w:val="0"/>
                <w:sz w:val="20"/>
                <w:szCs w:val="20"/>
              </w:rPr>
            </w:pPr>
          </w:p>
          <w:p w14:paraId="7E0A09B0">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是</w:t>
            </w:r>
          </w:p>
          <w:p w14:paraId="1709CE43">
            <w:pPr>
              <w:spacing w:line="400" w:lineRule="exact"/>
              <w:jc w:val="center"/>
              <w:rPr>
                <w:rFonts w:ascii="仿宋" w:hAnsi="仿宋" w:eastAsia="仿宋" w:cs="仿宋"/>
                <w:kern w:val="0"/>
                <w:sz w:val="20"/>
                <w:szCs w:val="20"/>
              </w:rPr>
            </w:pPr>
          </w:p>
          <w:p w14:paraId="0BCB7709">
            <w:pPr>
              <w:spacing w:line="400" w:lineRule="exact"/>
              <w:jc w:val="center"/>
              <w:rPr>
                <w:rFonts w:ascii="仿宋" w:hAnsi="仿宋" w:eastAsia="仿宋" w:cs="仿宋"/>
                <w:kern w:val="0"/>
                <w:sz w:val="20"/>
                <w:szCs w:val="20"/>
              </w:rPr>
            </w:pPr>
          </w:p>
          <w:p w14:paraId="0F537CCF">
            <w:pPr>
              <w:spacing w:line="400" w:lineRule="exact"/>
              <w:jc w:val="center"/>
              <w:rPr>
                <w:rFonts w:ascii="仿宋" w:hAnsi="仿宋" w:eastAsia="仿宋" w:cs="仿宋"/>
                <w:kern w:val="0"/>
                <w:sz w:val="20"/>
                <w:szCs w:val="20"/>
              </w:rPr>
            </w:pPr>
          </w:p>
        </w:tc>
      </w:tr>
    </w:tbl>
    <w:p w14:paraId="107C0DD5">
      <w:pPr>
        <w:pStyle w:val="8"/>
        <w:rPr>
          <w:rFonts w:hint="default" w:ascii="仿宋" w:hAnsi="仿宋" w:eastAsia="仿宋" w:cs="仿宋"/>
          <w:kern w:val="2"/>
          <w:sz w:val="24"/>
          <w:szCs w:val="24"/>
          <w:lang w:eastAsia="zh-CN"/>
        </w:rPr>
      </w:pPr>
      <w:r>
        <w:rPr>
          <w:rFonts w:ascii="仿宋" w:hAnsi="仿宋" w:eastAsia="仿宋" w:cs="仿宋"/>
          <w:kern w:val="2"/>
          <w:sz w:val="24"/>
          <w:szCs w:val="24"/>
          <w:lang w:eastAsia="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508D79">
      <w:pPr>
        <w:pStyle w:val="8"/>
        <w:rPr>
          <w:rFonts w:hint="default" w:ascii="仿宋" w:hAnsi="仿宋" w:eastAsia="仿宋" w:cs="仿宋"/>
          <w:b/>
          <w:sz w:val="28"/>
        </w:rPr>
      </w:pPr>
    </w:p>
    <w:p w14:paraId="2EA9F037">
      <w:pPr>
        <w:spacing w:line="480" w:lineRule="auto"/>
        <w:outlineLvl w:val="1"/>
        <w:rPr>
          <w:rFonts w:ascii="仿宋" w:hAnsi="仿宋" w:eastAsia="仿宋" w:cs="仿宋"/>
          <w:b/>
          <w:bCs/>
          <w:color w:val="000000"/>
          <w:sz w:val="28"/>
          <w:szCs w:val="28"/>
        </w:rPr>
      </w:pPr>
      <w:r>
        <w:rPr>
          <w:rFonts w:hint="eastAsia" w:ascii="仿宋" w:hAnsi="仿宋" w:eastAsia="仿宋" w:cs="仿宋"/>
          <w:b/>
          <w:sz w:val="28"/>
        </w:rPr>
        <w:t>★3.3.项目采购要求</w:t>
      </w:r>
    </w:p>
    <w:p w14:paraId="37289319">
      <w:pPr>
        <w:numPr>
          <w:ilvl w:val="255"/>
          <w:numId w:val="0"/>
        </w:numPr>
        <w:spacing w:line="480" w:lineRule="auto"/>
        <w:jc w:val="left"/>
        <w:outlineLvl w:val="2"/>
        <w:rPr>
          <w:rFonts w:ascii="仿宋" w:hAnsi="仿宋" w:eastAsia="仿宋" w:cs="仿宋"/>
          <w:b/>
          <w:sz w:val="28"/>
        </w:rPr>
      </w:pPr>
      <w:r>
        <w:rPr>
          <w:rFonts w:hint="eastAsia" w:ascii="仿宋" w:hAnsi="仿宋" w:eastAsia="仿宋" w:cs="仿宋"/>
          <w:b/>
          <w:sz w:val="28"/>
        </w:rPr>
        <w:t>一、挂网需求</w:t>
      </w:r>
    </w:p>
    <w:p w14:paraId="378FBB99">
      <w:pPr>
        <w:widowControl/>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本项目所有标的均须提供挂网产品。</w:t>
      </w:r>
    </w:p>
    <w:p w14:paraId="67D28626">
      <w:pPr>
        <w:widowControl/>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注：本项目中所指“挂网产品”，为“四川省药品和医用耗材招采管理系统”中已挂网产品（不含正在挂网和备案的产品）。</w:t>
      </w:r>
    </w:p>
    <w:p w14:paraId="6CFA0A46">
      <w:pPr>
        <w:spacing w:line="480" w:lineRule="auto"/>
        <w:outlineLvl w:val="2"/>
        <w:rPr>
          <w:rFonts w:ascii="仿宋" w:hAnsi="仿宋" w:eastAsia="仿宋" w:cs="仿宋"/>
          <w:b/>
          <w:sz w:val="28"/>
        </w:rPr>
      </w:pPr>
      <w:r>
        <w:rPr>
          <w:rFonts w:hint="eastAsia" w:ascii="仿宋" w:hAnsi="仿宋" w:eastAsia="仿宋" w:cs="仿宋"/>
          <w:b/>
          <w:sz w:val="28"/>
        </w:rPr>
        <w:t>二、样品要求</w:t>
      </w:r>
    </w:p>
    <w:p w14:paraId="139897A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1.必须提供样品，以供评审专家现场评审（如样品和标的产品有同一材质的，竞选人可提供承诺函证明标的产品与样品为同一材质，则无需提供所有标的产品作为样品）。</w:t>
      </w:r>
    </w:p>
    <w:p w14:paraId="12801DC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2.提交的样品不符合实际需求或存在原理错误则视为无效响应。</w:t>
      </w:r>
    </w:p>
    <w:p w14:paraId="30E7F0D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3.本项目竞选人所提供的样品，应与响应文件保持一致（具体参考《医疗器械说明书和标签管理规定》）。</w:t>
      </w:r>
    </w:p>
    <w:p w14:paraId="65748450">
      <w:pPr>
        <w:widowControl/>
        <w:ind w:firstLine="442" w:firstLineChars="200"/>
        <w:jc w:val="left"/>
        <w:textAlignment w:val="center"/>
        <w:rPr>
          <w:rFonts w:ascii="仿宋" w:hAnsi="仿宋" w:eastAsia="仿宋" w:cs="仿宋"/>
          <w:b/>
          <w:bCs/>
          <w:color w:val="000000"/>
          <w:kern w:val="0"/>
          <w:sz w:val="22"/>
          <w:szCs w:val="22"/>
          <w:highlight w:val="yellow"/>
          <w:lang w:bidi="ar"/>
        </w:rPr>
      </w:pPr>
      <w:r>
        <w:rPr>
          <w:rFonts w:hint="eastAsia" w:ascii="仿宋" w:hAnsi="仿宋" w:eastAsia="仿宋" w:cs="仿宋"/>
          <w:b/>
          <w:bCs/>
          <w:color w:val="000000"/>
          <w:kern w:val="0"/>
          <w:sz w:val="22"/>
          <w:szCs w:val="22"/>
          <w:highlight w:val="yellow"/>
          <w:lang w:bidi="ar"/>
        </w:rPr>
        <w:t>注：样品包装需完整，样品评审时将由采购代理机构拍照留存，作为后期验收的依据。</w:t>
      </w:r>
    </w:p>
    <w:p w14:paraId="16C958D1">
      <w:pPr>
        <w:spacing w:line="480" w:lineRule="auto"/>
        <w:outlineLvl w:val="2"/>
        <w:rPr>
          <w:rFonts w:ascii="仿宋" w:hAnsi="仿宋" w:eastAsia="仿宋" w:cs="仿宋"/>
          <w:b/>
          <w:bCs/>
          <w:color w:val="000000"/>
          <w:sz w:val="24"/>
        </w:rPr>
      </w:pPr>
      <w:r>
        <w:rPr>
          <w:rFonts w:hint="eastAsia" w:ascii="仿宋" w:hAnsi="仿宋" w:eastAsia="仿宋" w:cs="仿宋"/>
          <w:b/>
          <w:sz w:val="28"/>
        </w:rPr>
        <w:t>三、商务要求</w:t>
      </w:r>
      <w:r>
        <w:rPr>
          <w:rFonts w:hint="eastAsia" w:ascii="仿宋" w:hAnsi="仿宋" w:eastAsia="仿宋" w:cs="仿宋"/>
          <w:b/>
          <w:bCs/>
          <w:color w:val="000000"/>
          <w:sz w:val="28"/>
          <w:szCs w:val="28"/>
        </w:rPr>
        <w:t>：</w:t>
      </w:r>
    </w:p>
    <w:p w14:paraId="0F7E7B28">
      <w:pPr>
        <w:spacing w:line="240" w:lineRule="exact"/>
        <w:ind w:firstLine="420"/>
        <w:outlineLvl w:val="3"/>
        <w:rPr>
          <w:rFonts w:ascii="仿宋" w:hAnsi="仿宋" w:eastAsia="仿宋" w:cs="仿宋"/>
          <w:b/>
          <w:bCs/>
          <w:color w:val="000000"/>
          <w:sz w:val="24"/>
        </w:rPr>
      </w:pPr>
      <w:r>
        <w:rPr>
          <w:rFonts w:hint="eastAsia" w:ascii="仿宋" w:hAnsi="仿宋" w:eastAsia="仿宋" w:cs="仿宋"/>
          <w:b/>
          <w:bCs/>
          <w:color w:val="000000"/>
          <w:sz w:val="24"/>
        </w:rPr>
        <w:t>1.交货期及地点</w:t>
      </w:r>
    </w:p>
    <w:p w14:paraId="3D41023F">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（1）交货期：每次配送时间必须严格按照采购人配送通知执行，成交供应商应于收到通知后2小时内响应。急救耗材的配送时间不应超过4小时，一般耗材原则上的配送时间不应超过2个工作日；</w:t>
      </w:r>
    </w:p>
    <w:p w14:paraId="2705AAE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（2）交货地点：内江市第一人民医院指定地点。</w:t>
      </w:r>
    </w:p>
    <w:p w14:paraId="7F63DFCF">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2.付款方法和条件</w:t>
      </w:r>
    </w:p>
    <w:p w14:paraId="55B00FB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（1）结算方式：货款按实结算且由双方协商决定；</w:t>
      </w:r>
    </w:p>
    <w:p w14:paraId="1FE6330B">
      <w:pPr>
        <w:ind w:firstLine="440" w:firstLineChars="200"/>
        <w:jc w:val="left"/>
        <w:textAlignment w:val="center"/>
        <w:rPr>
          <w:rFonts w:ascii="仿宋" w:hAnsi="仿宋" w:eastAsia="仿宋" w:cs="仿宋"/>
          <w:sz w:val="24"/>
        </w:rPr>
      </w:pPr>
      <w:r>
        <w:rPr>
          <w:rFonts w:hint="eastAsia" w:ascii="仿宋" w:hAnsi="仿宋" w:eastAsia="仿宋" w:cs="仿宋"/>
          <w:color w:val="000000"/>
          <w:kern w:val="0"/>
          <w:sz w:val="22"/>
          <w:szCs w:val="22"/>
          <w:lang w:bidi="ar"/>
        </w:rPr>
        <w:t>（2）成交价格包含成本、运输、包装、培训、配送、伴随服务、税费及其他附加费用</w:t>
      </w:r>
      <w:r>
        <w:rPr>
          <w:rFonts w:hint="eastAsia" w:ascii="仿宋" w:hAnsi="仿宋" w:eastAsia="仿宋" w:cs="仿宋"/>
          <w:sz w:val="24"/>
        </w:rPr>
        <w:t>。</w:t>
      </w:r>
    </w:p>
    <w:p w14:paraId="04BB21B7">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3.医用耗材质量保证</w:t>
      </w:r>
    </w:p>
    <w:p w14:paraId="7E22392D">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（1）成交供应商须提供原厂生产的未曾使用过的、全新的合格的货品（含配套配件等），表面无划伤、无破损痕迹，且权属清楚，不得侵害他人的合法权利；</w:t>
      </w:r>
    </w:p>
    <w:p w14:paraId="592EB81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03310A47">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（3）成交供应商提供货品的设计技术专利、外形专利等均应符合我国有关法律法规及行业标准，凡因以上问题与第三方发生的任何纠纷，</w:t>
      </w:r>
      <w:r>
        <w:rPr>
          <w:rFonts w:hint="eastAsia" w:ascii="仿宋" w:hAnsi="仿宋" w:eastAsia="仿宋" w:cs="仿宋"/>
          <w:color w:val="000000"/>
          <w:kern w:val="0"/>
          <w:sz w:val="22"/>
          <w:szCs w:val="22"/>
          <w:highlight w:val="none"/>
          <w:lang w:bidi="ar"/>
        </w:rPr>
        <w:t>由成交供应商承担全部责任，成交供应商还应负责赔偿采购人由此而遭受的全部损失；</w:t>
      </w:r>
    </w:p>
    <w:p w14:paraId="406E0E3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（4）成交供应商保证其提供货品的安全可靠性。在正常使用下不应对使用者造成任何人身伤害，如因产品质量或标示不明确而对使用者造成损失的，由成交供应商承担相应责任；</w:t>
      </w:r>
    </w:p>
    <w:p w14:paraId="25E42A1E">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1F2CA49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（6）成交供应商保证所供耗材有效期不低于1年，自通过最终验收之日起，确保采购人在使用耗材的过程中安全、有效。</w:t>
      </w:r>
    </w:p>
    <w:p w14:paraId="0EED48CD">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4.验收</w:t>
      </w:r>
    </w:p>
    <w:p w14:paraId="18BBF67E">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3E7958A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276074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3F6E1E0">
      <w:pPr>
        <w:ind w:firstLine="440" w:firstLineChars="200"/>
        <w:jc w:val="left"/>
        <w:textAlignment w:val="center"/>
        <w:rPr>
          <w:rFonts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（4）其他未尽事宜严格按照《财政部关于进一步加强政府采购需求和履约验收管理的指导意见》（财库〔2016〕205号）的要求进行。</w:t>
      </w:r>
    </w:p>
    <w:p w14:paraId="5E987FF3">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5.售后服务</w:t>
      </w:r>
    </w:p>
    <w:p w14:paraId="7313FBB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53512DE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（2）要求成交供应商指派专人负责与采购人联系售后服务事宜；在响应文件中列明售后联系人及联系电话；</w:t>
      </w:r>
    </w:p>
    <w:p w14:paraId="2CC0F38A">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72F603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（4）耗材临近失效期，采购人提前三个月向成交供应商提出更换，成交供应商须在耗材失效前一个月更换完毕，不得以任何理由进行推诿；</w:t>
      </w:r>
    </w:p>
    <w:p w14:paraId="7AB17D1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（5）成交供应商必须随货提供其具备医疗器械经营企业的有关合法有效的手续（包括但不限于）：</w:t>
      </w:r>
    </w:p>
    <w:p w14:paraId="501F57A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5.1产品所涉及逐级授权经销商的医疗器械生产（经营）许可证或生产（经营）企业备案表；</w:t>
      </w:r>
    </w:p>
    <w:p w14:paraId="2BA2D2CD">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5.2医疗器械产品注册证或备案凭证；</w:t>
      </w:r>
    </w:p>
    <w:p w14:paraId="2CA49DC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5.3医疗器械生产企业许可证；</w:t>
      </w:r>
    </w:p>
    <w:p w14:paraId="190CF1F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5.4经销商获得的委托授权书（逐级）；</w:t>
      </w:r>
    </w:p>
    <w:p w14:paraId="1CC9072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5.5产品所涉及逐级授权经销商的企业法人营业执照。</w:t>
      </w:r>
    </w:p>
    <w:p w14:paraId="13D5D28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5.6采购人要求提供的相关资料。</w:t>
      </w:r>
    </w:p>
    <w:p w14:paraId="2BD03ED7">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E2691A7">
      <w:pPr>
        <w:ind w:firstLine="440" w:firstLineChars="200"/>
        <w:jc w:val="left"/>
        <w:textAlignment w:val="center"/>
        <w:rPr>
          <w:rFonts w:ascii="仿宋" w:hAnsi="仿宋" w:eastAsia="仿宋" w:cs="仿宋"/>
          <w:color w:val="000000"/>
          <w:kern w:val="0"/>
          <w:sz w:val="22"/>
          <w:szCs w:val="22"/>
          <w:lang w:bidi="ar"/>
        </w:rPr>
      </w:pPr>
    </w:p>
    <w:p w14:paraId="50A344CE">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 xml:space="preserve">6.包装和运输 </w:t>
      </w:r>
    </w:p>
    <w:p w14:paraId="4BA5E94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 xml:space="preserve">（1）成交供应商须严格按照《商品包装政府采购需求标准(试行)》、《快递包装政府采购需求标准(试行)》(财办库〔2020〕123 号)的要求进行产品及相关快递服务的包装； </w:t>
      </w:r>
    </w:p>
    <w:p w14:paraId="394C5E9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成交供应商应当按照约定的方式交付标的物。对于包装方式没有约定或者约定不明确的，应当按照通用的方式包装；没有通用方式的，应当采取足以保护标的物且有利于节约资源，保护生态环境的包装方式；</w:t>
      </w:r>
    </w:p>
    <w:p w14:paraId="422FFAF1">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（3）本次采购的标的物需要运输，成交供应商在合同约定的时间内将标的物运输至合同约定地点。</w:t>
      </w:r>
    </w:p>
    <w:p w14:paraId="5FEBE095">
      <w:pPr>
        <w:ind w:firstLine="440" w:firstLineChars="200"/>
        <w:jc w:val="left"/>
        <w:textAlignment w:val="center"/>
        <w:rPr>
          <w:rFonts w:ascii="仿宋" w:hAnsi="仿宋" w:eastAsia="仿宋" w:cs="仿宋"/>
          <w:color w:val="000000"/>
          <w:kern w:val="0"/>
          <w:sz w:val="22"/>
          <w:szCs w:val="22"/>
          <w:lang w:bidi="ar"/>
        </w:rPr>
      </w:pPr>
    </w:p>
    <w:p w14:paraId="2870A2DE">
      <w:pPr>
        <w:pStyle w:val="8"/>
        <w:outlineLvl w:val="1"/>
        <w:rPr>
          <w:rFonts w:hint="default" w:ascii="仿宋" w:hAnsi="仿宋" w:eastAsia="仿宋" w:cs="仿宋"/>
        </w:rPr>
      </w:pPr>
      <w:r>
        <w:rPr>
          <w:rFonts w:ascii="仿宋" w:hAnsi="仿宋" w:eastAsia="仿宋" w:cs="仿宋"/>
          <w:b/>
          <w:sz w:val="28"/>
        </w:rPr>
        <w:t>3.4.其他要求</w:t>
      </w:r>
    </w:p>
    <w:p w14:paraId="25FB04B4">
      <w:pPr>
        <w:pStyle w:val="8"/>
        <w:ind w:firstLine="480"/>
        <w:outlineLvl w:val="2"/>
        <w:rPr>
          <w:rFonts w:hint="default" w:ascii="仿宋" w:hAnsi="仿宋" w:eastAsia="仿宋" w:cs="仿宋"/>
          <w:b/>
          <w:bCs/>
          <w:sz w:val="24"/>
          <w:szCs w:val="24"/>
          <w:lang w:eastAsia="zh-CN"/>
        </w:rPr>
      </w:pPr>
      <w:r>
        <w:rPr>
          <w:rFonts w:ascii="仿宋" w:hAnsi="仿宋" w:eastAsia="仿宋" w:cs="仿宋"/>
          <w:b/>
          <w:bCs/>
          <w:sz w:val="24"/>
          <w:szCs w:val="24"/>
          <w:lang w:eastAsia="zh-CN"/>
        </w:rPr>
        <w:t>1.</w:t>
      </w:r>
      <w:r>
        <w:rPr>
          <w:rFonts w:hint="default" w:ascii="仿宋" w:hAnsi="仿宋" w:eastAsia="仿宋" w:cs="仿宋"/>
          <w:b/>
          <w:bCs/>
          <w:sz w:val="24"/>
          <w:szCs w:val="24"/>
          <w:lang w:eastAsia="zh-CN"/>
        </w:rPr>
        <w:t>违约责任与解决争议的方法：</w:t>
      </w:r>
    </w:p>
    <w:p w14:paraId="2D3F3A5A">
      <w:pPr>
        <w:pStyle w:val="8"/>
        <w:ind w:firstLine="480"/>
        <w:outlineLvl w:val="1"/>
        <w:rPr>
          <w:rFonts w:hint="default" w:ascii="仿宋" w:hAnsi="仿宋" w:eastAsia="仿宋" w:cs="仿宋"/>
          <w:b/>
          <w:bCs/>
          <w:sz w:val="24"/>
          <w:szCs w:val="24"/>
          <w:lang w:eastAsia="zh-CN"/>
        </w:rPr>
      </w:pPr>
      <w:r>
        <w:rPr>
          <w:rFonts w:ascii="仿宋" w:hAnsi="仿宋" w:eastAsia="仿宋" w:cs="仿宋"/>
          <w:b/>
          <w:bCs/>
          <w:sz w:val="24"/>
          <w:szCs w:val="24"/>
          <w:lang w:eastAsia="zh-CN"/>
        </w:rPr>
        <w:t>1.1违约责任</w:t>
      </w:r>
    </w:p>
    <w:p w14:paraId="022E0C9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（1）成交供应商逾期15日内不能提供采购人所需医用耗材的，应向采购人每日支付该批次货款千分之三的违约金。</w:t>
      </w:r>
    </w:p>
    <w:p w14:paraId="45F925F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（2）成交供应商逾期15日及以上不能交付以上产品的，视同不能供货，须向采购人支付该批次货款的10%的违约金，同时采购人可以单方面解除本合同。</w:t>
      </w:r>
    </w:p>
    <w:p w14:paraId="710535C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（3）若因成交供应商原因造成采购人被监管部门通报三次及以上的或者造成采购人违规采购，采购人有权单方面解除本合同。同时，采购人有权要求成交供应商支付该批货物价款20%的违约金。</w:t>
      </w:r>
    </w:p>
    <w:p w14:paraId="25C491D7">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w:t>
      </w:r>
    </w:p>
    <w:p w14:paraId="0519135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即使产品已经验收入库（或安装调试完毕）后，采购人才发现产品为不合格产品的，也视为成交供应商违约，成交供应商应当承担本条约定的责任。同时采购人有权退回库存产品。</w:t>
      </w:r>
    </w:p>
    <w:p w14:paraId="198190CF">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（5）若根据法律规定或本协议约定产生采购人退、换货或拒绝收货情形，由成交供应商承担退换货产生的各项税、费或其他支出。</w:t>
      </w:r>
    </w:p>
    <w:p w14:paraId="20D33A5F">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（6）成交供应商不能保证及时供货，除应当向采购人承担违约责任外，采购人仍有权单方面解除本合同。</w:t>
      </w:r>
    </w:p>
    <w:p w14:paraId="4326EF4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（7）因成交供应商提供的产品不合格造成采购人或第三人人身损害或财产损失的，由成交供应商承担赔偿责任。</w:t>
      </w:r>
      <w:bookmarkStart w:id="1" w:name="_GoBack"/>
      <w:bookmarkEnd w:id="1"/>
    </w:p>
    <w:p w14:paraId="5A6A06B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4C4C0855">
      <w:pPr>
        <w:pStyle w:val="8"/>
        <w:ind w:firstLine="480"/>
        <w:outlineLvl w:val="1"/>
        <w:rPr>
          <w:rFonts w:hint="default" w:ascii="仿宋" w:hAnsi="仿宋" w:eastAsia="仿宋" w:cs="仿宋"/>
          <w:b/>
          <w:bCs/>
          <w:sz w:val="24"/>
          <w:szCs w:val="24"/>
          <w:lang w:eastAsia="zh-CN"/>
        </w:rPr>
      </w:pPr>
      <w:r>
        <w:rPr>
          <w:rFonts w:ascii="仿宋" w:hAnsi="仿宋" w:eastAsia="仿宋" w:cs="仿宋"/>
          <w:b/>
          <w:bCs/>
          <w:sz w:val="24"/>
          <w:szCs w:val="24"/>
          <w:lang w:eastAsia="zh-CN"/>
        </w:rPr>
        <w:t>1.2解决合同纠纷的方式</w:t>
      </w:r>
    </w:p>
    <w:p w14:paraId="16B05F0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（1）因货物的质量问题发生的争议，由法定质量鉴定机构或其认可的质量鉴定机构进行质量鉴定。货物符合标准的，鉴定费由采购人承担；货物不符合质量标准的，鉴定费由成交供应商承担。</w:t>
      </w:r>
    </w:p>
    <w:p w14:paraId="306B83A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（2）合同履行期间，若双方发生争议，可协商或由有关部门调解解决，协商或调解不成的，可向采购人所在地人民法院依法提起诉讼。</w:t>
      </w:r>
    </w:p>
    <w:p w14:paraId="377DEC40">
      <w:pPr>
        <w:pStyle w:val="8"/>
        <w:ind w:firstLine="480"/>
        <w:rPr>
          <w:rFonts w:hint="default" w:ascii="仿宋" w:hAnsi="仿宋" w:eastAsia="仿宋" w:cs="仿宋"/>
          <w:color w:val="000000"/>
          <w:kern w:val="0"/>
          <w:sz w:val="22"/>
          <w:szCs w:val="22"/>
          <w:lang w:val="en-US" w:eastAsia="zh-CN" w:bidi="ar"/>
        </w:rPr>
      </w:pPr>
      <w:r>
        <w:rPr>
          <w:rFonts w:ascii="仿宋" w:hAnsi="仿宋" w:eastAsia="仿宋" w:cs="仿宋"/>
          <w:b/>
          <w:bCs/>
          <w:sz w:val="24"/>
          <w:szCs w:val="24"/>
          <w:lang w:eastAsia="zh-CN"/>
        </w:rPr>
        <w:t>2.</w:t>
      </w:r>
      <w:r>
        <w:rPr>
          <w:rFonts w:hint="default" w:ascii="Times New Roman" w:hAnsi="Times New Roman" w:eastAsia="仿宋" w:cs="Times New Roman"/>
          <w:b/>
          <w:bCs/>
          <w:sz w:val="24"/>
          <w:szCs w:val="24"/>
        </w:rPr>
        <w:t>履行期限</w:t>
      </w:r>
      <w:r>
        <w:rPr>
          <w:rFonts w:ascii="Times New Roman" w:hAnsi="Times New Roman" w:eastAsia="仿宋" w:cs="Times New Roman"/>
          <w:b/>
          <w:bCs/>
          <w:sz w:val="24"/>
          <w:szCs w:val="24"/>
          <w:lang w:eastAsia="zh-CN"/>
        </w:rPr>
        <w:t>：</w:t>
      </w:r>
      <w:r>
        <w:rPr>
          <w:rFonts w:hint="eastAsia" w:ascii="仿宋" w:hAnsi="仿宋" w:eastAsia="仿宋" w:cs="仿宋"/>
          <w:color w:val="000000"/>
          <w:kern w:val="0"/>
          <w:sz w:val="22"/>
          <w:szCs w:val="22"/>
          <w:lang w:val="en-US" w:eastAsia="zh-CN" w:bidi="ar"/>
        </w:rPr>
        <w:t>本项目自2025年6月3日生效，有效期2年；</w:t>
      </w:r>
    </w:p>
    <w:p w14:paraId="60BEA895">
      <w:pPr>
        <w:pStyle w:val="8"/>
        <w:ind w:firstLine="480"/>
        <w:rPr>
          <w:rFonts w:hint="default" w:ascii="仿宋" w:hAnsi="仿宋" w:eastAsia="仿宋" w:cs="仿宋"/>
          <w:sz w:val="24"/>
          <w:szCs w:val="24"/>
          <w:lang w:eastAsia="zh-CN"/>
        </w:rPr>
      </w:pPr>
      <w:r>
        <w:rPr>
          <w:rFonts w:ascii="仿宋" w:hAnsi="仿宋" w:eastAsia="仿宋" w:cs="仿宋"/>
          <w:b/>
          <w:bCs/>
          <w:sz w:val="24"/>
          <w:szCs w:val="24"/>
          <w:lang w:eastAsia="zh-CN"/>
        </w:rPr>
        <w:t>3.支付方式：</w:t>
      </w:r>
      <w:r>
        <w:rPr>
          <w:rFonts w:ascii="仿宋" w:hAnsi="仿宋" w:eastAsia="仿宋" w:cs="仿宋"/>
          <w:color w:val="000000"/>
          <w:sz w:val="22"/>
          <w:szCs w:val="22"/>
          <w:lang w:eastAsia="zh-CN" w:bidi="ar"/>
        </w:rPr>
        <w:t>双方协商确定。</w:t>
      </w:r>
    </w:p>
    <w:p w14:paraId="26946300">
      <w:pPr>
        <w:pStyle w:val="8"/>
        <w:ind w:firstLine="480"/>
        <w:rPr>
          <w:rFonts w:hint="default" w:ascii="仿宋" w:hAnsi="仿宋" w:eastAsia="仿宋" w:cs="仿宋"/>
          <w:b/>
          <w:bCs/>
          <w:sz w:val="24"/>
          <w:szCs w:val="24"/>
          <w:lang w:eastAsia="zh-CN"/>
        </w:rPr>
      </w:pPr>
      <w:r>
        <w:rPr>
          <w:rFonts w:ascii="仿宋" w:hAnsi="仿宋" w:eastAsia="仿宋" w:cs="仿宋"/>
          <w:b/>
          <w:bCs/>
          <w:sz w:val="24"/>
          <w:szCs w:val="24"/>
          <w:lang w:eastAsia="zh-CN"/>
        </w:rPr>
        <w:t>4.</w:t>
      </w:r>
      <w:r>
        <w:rPr>
          <w:rFonts w:hint="default" w:ascii="仿宋" w:hAnsi="仿宋" w:eastAsia="仿宋" w:cs="仿宋"/>
          <w:b/>
          <w:bCs/>
          <w:sz w:val="24"/>
          <w:szCs w:val="24"/>
          <w:lang w:eastAsia="zh-CN"/>
        </w:rPr>
        <w:t>履约验收程序</w:t>
      </w:r>
      <w:r>
        <w:rPr>
          <w:rFonts w:ascii="仿宋" w:hAnsi="仿宋" w:eastAsia="仿宋" w:cs="仿宋"/>
          <w:b/>
          <w:bCs/>
          <w:sz w:val="24"/>
          <w:szCs w:val="24"/>
          <w:lang w:eastAsia="zh-CN"/>
        </w:rPr>
        <w:t>：</w:t>
      </w:r>
      <w:r>
        <w:rPr>
          <w:rFonts w:ascii="仿宋" w:hAnsi="仿宋" w:eastAsia="仿宋" w:cs="仿宋"/>
          <w:color w:val="000000"/>
          <w:sz w:val="22"/>
          <w:szCs w:val="22"/>
          <w:lang w:eastAsia="zh-CN" w:bidi="ar"/>
        </w:rPr>
        <w:t>分批次验收。</w:t>
      </w:r>
    </w:p>
    <w:p w14:paraId="0BFE1D5D">
      <w:pPr>
        <w:pStyle w:val="8"/>
        <w:ind w:firstLine="480"/>
        <w:rPr>
          <w:rFonts w:hint="default"/>
        </w:rPr>
      </w:pPr>
      <w:r>
        <w:rPr>
          <w:rFonts w:hint="eastAsia" w:ascii="仿宋" w:hAnsi="仿宋" w:eastAsia="仿宋" w:cs="仿宋"/>
          <w:b/>
          <w:bCs/>
          <w:sz w:val="24"/>
        </w:rPr>
        <w:t>5.</w:t>
      </w:r>
      <w:r>
        <w:rPr>
          <w:rFonts w:ascii="仿宋" w:hAnsi="仿宋" w:eastAsia="仿宋" w:cs="仿宋"/>
          <w:b/>
          <w:bCs/>
          <w:sz w:val="24"/>
        </w:rPr>
        <w:t>履约验收时间：</w:t>
      </w:r>
      <w:r>
        <w:rPr>
          <w:rFonts w:ascii="仿宋" w:hAnsi="仿宋" w:eastAsia="仿宋" w:cs="仿宋"/>
          <w:color w:val="000000"/>
          <w:kern w:val="0"/>
          <w:sz w:val="22"/>
          <w:szCs w:val="22"/>
          <w:lang w:bidi="ar"/>
        </w:rPr>
        <w:t>合同期限内，根据</w:t>
      </w:r>
      <w:r>
        <w:rPr>
          <w:rFonts w:hint="eastAsia" w:ascii="仿宋" w:hAnsi="仿宋" w:eastAsia="仿宋" w:cs="仿宋"/>
          <w:color w:val="000000"/>
          <w:kern w:val="0"/>
          <w:sz w:val="22"/>
          <w:szCs w:val="22"/>
          <w:lang w:bidi="ar"/>
        </w:rPr>
        <w:t>采购人</w:t>
      </w:r>
      <w:r>
        <w:rPr>
          <w:rFonts w:ascii="仿宋" w:hAnsi="仿宋" w:eastAsia="仿宋" w:cs="仿宋"/>
          <w:color w:val="000000"/>
          <w:kern w:val="0"/>
          <w:sz w:val="22"/>
          <w:szCs w:val="22"/>
          <w:lang w:bidi="ar"/>
        </w:rPr>
        <w:t>要求分批次送货，完成送货、验收入库视为验收完成</w:t>
      </w:r>
      <w:r>
        <w:rPr>
          <w:rFonts w:hint="eastAsia" w:ascii="仿宋" w:hAnsi="仿宋" w:eastAsia="仿宋" w:cs="仿宋"/>
          <w:color w:val="000000"/>
          <w:kern w:val="0"/>
          <w:sz w:val="22"/>
          <w:szCs w:val="22"/>
          <w:lang w:bidi="ar"/>
        </w:rPr>
        <w:t>。</w:t>
      </w:r>
      <w:r>
        <w:rPr>
          <w:rFonts w:hint="eastAsia" w:ascii="仿宋" w:hAnsi="仿宋" w:eastAsia="仿宋" w:cs="仿宋"/>
          <w:color w:val="000000"/>
          <w:kern w:val="0"/>
          <w:sz w:val="22"/>
          <w:szCs w:val="22"/>
          <w:lang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77F66F5"/>
    <w:rsid w:val="108B406B"/>
    <w:rsid w:val="1ACE595C"/>
    <w:rsid w:val="312E4E5B"/>
    <w:rsid w:val="32B113F3"/>
    <w:rsid w:val="685330A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qFormat/>
    <w:uiPriority w:val="0"/>
    <w:rPr>
      <w:rFonts w:ascii="Times New Roman" w:hAnsi="Times New Roman" w:eastAsia="宋体" w:cs="Times New Roman"/>
      <w:kern w:val="2"/>
      <w:sz w:val="18"/>
      <w:szCs w:val="18"/>
    </w:rPr>
  </w:style>
  <w:style w:type="character" w:customStyle="1" w:styleId="11">
    <w:name w:val="正文文本 Char"/>
    <w:basedOn w:val="7"/>
    <w:link w:val="2"/>
    <w:qFormat/>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4109</Words>
  <Characters>4252</Characters>
  <Lines>33</Lines>
  <Paragraphs>9</Paragraphs>
  <TotalTime>0</TotalTime>
  <ScaleCrop>false</ScaleCrop>
  <LinksUpToDate>false</LinksUpToDate>
  <CharactersWithSpaces>4261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郭</cp:lastModifiedBy>
  <dcterms:modified xsi:type="dcterms:W3CDTF">2025-04-24T01:36:34Z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eyJoZGlkIjoiNWU1ZTcyN2UzZTk4NzhhZTBlZTMzNDViODhkOGE4YmUiLCJ1c2VySWQiOiI0MzgyMTYwMzgifQ==</vt:lpwstr>
  </property>
  <property fmtid="{D5CDD505-2E9C-101B-9397-08002B2CF9AE}" pid="4" name="ICV">
    <vt:lpwstr>C5B7C8CBB9774CFEB3B6A5951A74B4A9_12</vt:lpwstr>
  </property>
</Properties>
</file>