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1DF782">
      <w:pPr>
        <w:pStyle w:val="7"/>
        <w:jc w:val="center"/>
        <w:outlineLvl w:val="0"/>
        <w:rPr>
          <w:rFonts w:hint="eastAsia" w:ascii="仿宋" w:hAnsi="仿宋" w:eastAsia="仿宋" w:cs="仿宋"/>
          <w:highlight w:val="none"/>
        </w:rPr>
      </w:pPr>
      <w:bookmarkStart w:id="0" w:name="_Toc27801"/>
      <w:r>
        <w:rPr>
          <w:rFonts w:hint="eastAsia" w:ascii="仿宋" w:hAnsi="仿宋" w:eastAsia="仿宋" w:cs="仿宋"/>
          <w:b/>
          <w:sz w:val="36"/>
          <w:highlight w:val="none"/>
        </w:rPr>
        <w:t>第三章 技术、服务及其他要求</w:t>
      </w:r>
      <w:bookmarkEnd w:id="0"/>
    </w:p>
    <w:p w14:paraId="3E3ED903">
      <w:pPr>
        <w:pStyle w:val="7"/>
        <w:jc w:val="left"/>
        <w:outlineLvl w:val="9"/>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，不满足作无效投标处理</w:t>
      </w:r>
      <w:r>
        <w:rPr>
          <w:rFonts w:hint="eastAsia" w:ascii="仿宋" w:hAnsi="仿宋" w:eastAsia="仿宋" w:cs="仿宋"/>
          <w:highlight w:val="none"/>
        </w:rPr>
        <w:t>。</w:t>
      </w:r>
    </w:p>
    <w:p w14:paraId="18B9BE51">
      <w:pPr>
        <w:pStyle w:val="7"/>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p w14:paraId="2343C64F">
      <w:pPr>
        <w:pStyle w:val="7"/>
        <w:jc w:val="left"/>
        <w:outlineLvl w:val="9"/>
        <w:rPr>
          <w:rFonts w:hint="eastAsia" w:ascii="仿宋" w:hAnsi="仿宋" w:eastAsia="仿宋" w:cs="仿宋"/>
          <w:b/>
          <w:bCs/>
          <w:i w:val="0"/>
          <w:iCs w:val="0"/>
          <w:sz w:val="24"/>
          <w:szCs w:val="24"/>
        </w:rPr>
      </w:pPr>
      <w:r>
        <w:rPr>
          <w:rFonts w:hint="eastAsia" w:ascii="仿宋" w:hAnsi="仿宋" w:eastAsia="仿宋" w:cs="仿宋"/>
          <w:b/>
          <w:bCs/>
          <w:i w:val="0"/>
          <w:iCs w:val="0"/>
          <w:sz w:val="24"/>
          <w:szCs w:val="24"/>
        </w:rPr>
        <w:t>采购包1：</w:t>
      </w: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78"/>
        <w:gridCol w:w="579"/>
        <w:gridCol w:w="1514"/>
        <w:gridCol w:w="1725"/>
        <w:gridCol w:w="1299"/>
        <w:gridCol w:w="931"/>
        <w:gridCol w:w="1920"/>
      </w:tblGrid>
      <w:tr w14:paraId="4D8BC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22" w:hRule="atLeast"/>
        </w:trPr>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2B2B6E17">
            <w:pPr>
              <w:spacing w:line="240" w:lineRule="auto"/>
              <w:jc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包号</w:t>
            </w:r>
          </w:p>
        </w:tc>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3932757B">
            <w:pPr>
              <w:spacing w:line="240" w:lineRule="auto"/>
              <w:jc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编号</w:t>
            </w:r>
          </w:p>
        </w:tc>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5D213F67">
            <w:pPr>
              <w:spacing w:line="240" w:lineRule="auto"/>
              <w:jc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标的名称</w:t>
            </w:r>
          </w:p>
        </w:tc>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7728213B">
            <w:pPr>
              <w:spacing w:line="240" w:lineRule="auto"/>
              <w:jc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sz w:val="22"/>
                <w:szCs w:val="22"/>
                <w:highlight w:val="none"/>
                <w:lang w:val="en-US" w:eastAsia="zh-CN"/>
              </w:rPr>
              <w:t>★</w:t>
            </w:r>
            <w:r>
              <w:rPr>
                <w:rFonts w:hint="eastAsia" w:ascii="仿宋" w:hAnsi="仿宋" w:eastAsia="仿宋" w:cs="仿宋"/>
                <w:b/>
                <w:bCs/>
                <w:color w:val="auto"/>
                <w:sz w:val="22"/>
                <w:szCs w:val="22"/>
                <w:highlight w:val="none"/>
                <w:shd w:val="clear" w:color="auto" w:fill="auto"/>
                <w:lang w:val="en-US" w:eastAsia="zh-CN"/>
              </w:rPr>
              <w:t>单价限价最高（元）</w:t>
            </w:r>
          </w:p>
        </w:tc>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57DFCD73">
            <w:pPr>
              <w:spacing w:line="240" w:lineRule="auto"/>
              <w:jc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数量</w:t>
            </w:r>
          </w:p>
        </w:tc>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337EFD9B">
            <w:pPr>
              <w:spacing w:line="240" w:lineRule="auto"/>
              <w:jc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sz w:val="22"/>
                <w:szCs w:val="22"/>
                <w:highlight w:val="none"/>
                <w:lang w:val="en-US" w:eastAsia="zh-CN"/>
              </w:rPr>
              <w:t>★</w:t>
            </w:r>
            <w:r>
              <w:rPr>
                <w:rFonts w:hint="eastAsia" w:ascii="仿宋" w:hAnsi="仿宋" w:eastAsia="仿宋" w:cs="仿宋"/>
                <w:b/>
                <w:bCs/>
                <w:color w:val="auto"/>
                <w:sz w:val="22"/>
                <w:szCs w:val="22"/>
                <w:highlight w:val="none"/>
                <w:shd w:val="clear" w:color="auto" w:fill="auto"/>
                <w:lang w:val="en-US" w:eastAsia="zh-CN"/>
              </w:rPr>
              <w:t>计量单位</w:t>
            </w:r>
          </w:p>
        </w:tc>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06BA73F7">
            <w:pPr>
              <w:spacing w:line="240" w:lineRule="auto"/>
              <w:jc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预算金额/最高限价（元）</w:t>
            </w:r>
          </w:p>
        </w:tc>
      </w:tr>
      <w:tr w14:paraId="1B494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86D3CB8">
            <w:pPr>
              <w:spacing w:line="240" w:lineRule="auto"/>
              <w:jc w:val="center"/>
              <w:rPr>
                <w:rFonts w:hint="eastAsia" w:ascii="仿宋" w:hAnsi="仿宋" w:eastAsia="仿宋" w:cs="仿宋"/>
                <w:b/>
                <w:bCs/>
                <w:color w:val="auto"/>
                <w:sz w:val="20"/>
                <w:szCs w:val="20"/>
                <w:highlight w:val="none"/>
                <w:shd w:val="clear" w:color="auto" w:fill="auto"/>
                <w:lang w:val="en-US" w:eastAsia="zh-CN"/>
              </w:rPr>
            </w:pPr>
            <w:r>
              <w:rPr>
                <w:rFonts w:hint="eastAsia" w:ascii="仿宋" w:hAnsi="仿宋" w:eastAsia="仿宋" w:cs="仿宋"/>
                <w:b/>
                <w:bCs/>
                <w:color w:val="auto"/>
                <w:sz w:val="20"/>
                <w:szCs w:val="20"/>
                <w:highlight w:val="none"/>
                <w:shd w:val="clear" w:color="auto" w:fill="auto"/>
                <w:lang w:val="en-US" w:eastAsia="zh-CN"/>
              </w:rPr>
              <w:t>1</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DECD8E3">
            <w:pPr>
              <w:spacing w:line="240" w:lineRule="auto"/>
              <w:jc w:val="center"/>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b w:val="0"/>
                <w:bCs w:val="0"/>
                <w:color w:val="auto"/>
                <w:sz w:val="20"/>
                <w:szCs w:val="20"/>
                <w:highlight w:val="none"/>
                <w:shd w:val="clear" w:color="auto" w:fill="auto"/>
                <w:lang w:val="en-US" w:eastAsia="zh-CN"/>
              </w:rPr>
              <w:t>1</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B0D2B3B">
            <w:pPr>
              <w:spacing w:line="240" w:lineRule="auto"/>
              <w:jc w:val="center"/>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b w:val="0"/>
                <w:bCs w:val="0"/>
                <w:color w:val="auto"/>
                <w:sz w:val="20"/>
                <w:szCs w:val="20"/>
                <w:highlight w:val="none"/>
                <w:shd w:val="clear" w:color="auto" w:fill="auto"/>
                <w:lang w:val="en-US" w:eastAsia="zh-CN"/>
              </w:rPr>
              <w:t>一次性使用喉罩气道导管</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9C8DC09">
            <w:pPr>
              <w:spacing w:line="240" w:lineRule="auto"/>
              <w:jc w:val="center"/>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b w:val="0"/>
                <w:bCs w:val="0"/>
                <w:color w:val="auto"/>
                <w:sz w:val="20"/>
                <w:szCs w:val="20"/>
                <w:highlight w:val="none"/>
                <w:shd w:val="clear" w:color="auto" w:fill="auto"/>
                <w:lang w:val="en-US" w:eastAsia="zh-CN"/>
              </w:rPr>
              <w:t>340</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2E73155">
            <w:pPr>
              <w:spacing w:line="240" w:lineRule="auto"/>
              <w:jc w:val="center"/>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b w:val="0"/>
                <w:bCs w:val="0"/>
                <w:color w:val="auto"/>
                <w:sz w:val="20"/>
                <w:szCs w:val="20"/>
                <w:highlight w:val="none"/>
                <w:shd w:val="clear" w:color="auto" w:fill="auto"/>
                <w:lang w:val="en-US" w:eastAsia="zh-CN"/>
              </w:rPr>
              <w:t>最高限量2000/年</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9DAB237">
            <w:pPr>
              <w:spacing w:line="240" w:lineRule="auto"/>
              <w:jc w:val="center"/>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b w:val="0"/>
                <w:bCs w:val="0"/>
                <w:color w:val="auto"/>
                <w:sz w:val="20"/>
                <w:szCs w:val="20"/>
                <w:highlight w:val="none"/>
                <w:shd w:val="clear" w:color="auto" w:fill="auto"/>
                <w:lang w:val="en-US" w:eastAsia="zh-CN"/>
              </w:rPr>
              <w:t>根</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4C0A893">
            <w:pPr>
              <w:spacing w:line="240" w:lineRule="auto"/>
              <w:jc w:val="center"/>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b w:val="0"/>
                <w:bCs w:val="0"/>
                <w:color w:val="auto"/>
                <w:sz w:val="20"/>
                <w:szCs w:val="20"/>
                <w:highlight w:val="none"/>
                <w:shd w:val="clear" w:color="auto" w:fill="auto"/>
                <w:lang w:val="en-US" w:eastAsia="zh-CN"/>
              </w:rPr>
              <w:t>680000/年</w:t>
            </w:r>
          </w:p>
        </w:tc>
      </w:tr>
      <w:tr w14:paraId="3C6ED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29A67FE">
            <w:pPr>
              <w:spacing w:line="240" w:lineRule="auto"/>
              <w:jc w:val="center"/>
              <w:rPr>
                <w:rFonts w:hint="eastAsia" w:ascii="仿宋" w:hAnsi="仿宋" w:eastAsia="仿宋" w:cs="仿宋"/>
                <w:b/>
                <w:bCs/>
                <w:color w:val="auto"/>
                <w:sz w:val="20"/>
                <w:szCs w:val="20"/>
                <w:highlight w:val="none"/>
                <w:shd w:val="clear" w:color="auto" w:fill="auto"/>
                <w:lang w:val="en-US" w:eastAsia="zh-CN"/>
              </w:rPr>
            </w:pPr>
            <w:r>
              <w:rPr>
                <w:rFonts w:hint="eastAsia" w:ascii="仿宋" w:hAnsi="仿宋" w:eastAsia="仿宋" w:cs="仿宋"/>
                <w:b/>
                <w:bCs/>
                <w:color w:val="auto"/>
                <w:sz w:val="20"/>
                <w:szCs w:val="20"/>
                <w:highlight w:val="none"/>
                <w:shd w:val="clear" w:color="auto" w:fill="auto"/>
                <w:lang w:val="en-US" w:eastAsia="zh-CN"/>
              </w:rPr>
              <w:t>1</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FECA23D">
            <w:pPr>
              <w:spacing w:line="240" w:lineRule="auto"/>
              <w:jc w:val="center"/>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b w:val="0"/>
                <w:bCs w:val="0"/>
                <w:color w:val="auto"/>
                <w:sz w:val="20"/>
                <w:szCs w:val="20"/>
                <w:highlight w:val="none"/>
                <w:shd w:val="clear" w:color="auto" w:fill="auto"/>
                <w:lang w:val="en-US" w:eastAsia="zh-CN"/>
              </w:rPr>
              <w:t>2</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B626846">
            <w:pPr>
              <w:spacing w:line="240" w:lineRule="auto"/>
              <w:jc w:val="center"/>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b w:val="0"/>
                <w:bCs w:val="0"/>
                <w:color w:val="auto"/>
                <w:sz w:val="20"/>
                <w:szCs w:val="20"/>
                <w:highlight w:val="none"/>
                <w:shd w:val="clear" w:color="auto" w:fill="auto"/>
                <w:lang w:val="en-US" w:eastAsia="zh-CN"/>
              </w:rPr>
              <w:t>一次性使用无菌气道插管</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5BEB392">
            <w:pPr>
              <w:spacing w:line="240" w:lineRule="auto"/>
              <w:jc w:val="center"/>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b w:val="0"/>
                <w:bCs w:val="0"/>
                <w:color w:val="auto"/>
                <w:sz w:val="20"/>
                <w:szCs w:val="20"/>
                <w:highlight w:val="none"/>
                <w:shd w:val="clear" w:color="auto" w:fill="auto"/>
                <w:lang w:val="en-US" w:eastAsia="zh-CN"/>
              </w:rPr>
              <w:t>124</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6238182">
            <w:pPr>
              <w:spacing w:line="240" w:lineRule="auto"/>
              <w:jc w:val="center"/>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b w:val="0"/>
                <w:bCs w:val="0"/>
                <w:color w:val="auto"/>
                <w:sz w:val="20"/>
                <w:szCs w:val="20"/>
                <w:highlight w:val="none"/>
                <w:shd w:val="clear" w:color="auto" w:fill="auto"/>
                <w:lang w:val="en-US" w:eastAsia="zh-CN"/>
              </w:rPr>
              <w:t>按计划</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57FFF2A">
            <w:pPr>
              <w:spacing w:line="240" w:lineRule="auto"/>
              <w:jc w:val="center"/>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b w:val="0"/>
                <w:bCs w:val="0"/>
                <w:color w:val="auto"/>
                <w:sz w:val="20"/>
                <w:szCs w:val="20"/>
                <w:highlight w:val="none"/>
                <w:shd w:val="clear" w:color="auto" w:fill="auto"/>
                <w:lang w:val="en-US" w:eastAsia="zh-CN"/>
              </w:rPr>
              <w:t>根</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27F8A40">
            <w:pPr>
              <w:spacing w:line="240" w:lineRule="auto"/>
              <w:jc w:val="center"/>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6A98E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0DDFB86">
            <w:pPr>
              <w:spacing w:line="240" w:lineRule="auto"/>
              <w:jc w:val="center"/>
              <w:rPr>
                <w:rFonts w:hint="eastAsia" w:ascii="仿宋" w:hAnsi="仿宋" w:eastAsia="仿宋" w:cs="仿宋"/>
                <w:b/>
                <w:bCs/>
                <w:color w:val="auto"/>
                <w:sz w:val="20"/>
                <w:szCs w:val="20"/>
                <w:highlight w:val="none"/>
                <w:shd w:val="clear" w:color="auto" w:fill="auto"/>
                <w:lang w:val="en-US" w:eastAsia="zh-CN"/>
              </w:rPr>
            </w:pPr>
            <w:r>
              <w:rPr>
                <w:rFonts w:hint="eastAsia" w:ascii="仿宋" w:hAnsi="仿宋" w:eastAsia="仿宋" w:cs="仿宋"/>
                <w:b/>
                <w:bCs/>
                <w:color w:val="auto"/>
                <w:sz w:val="20"/>
                <w:szCs w:val="20"/>
                <w:highlight w:val="none"/>
                <w:shd w:val="clear" w:color="auto" w:fill="auto"/>
                <w:lang w:val="en-US" w:eastAsia="zh-CN"/>
              </w:rPr>
              <w:t>1</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E64F0C8">
            <w:pPr>
              <w:spacing w:line="240" w:lineRule="auto"/>
              <w:jc w:val="center"/>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b w:val="0"/>
                <w:bCs w:val="0"/>
                <w:color w:val="auto"/>
                <w:sz w:val="20"/>
                <w:szCs w:val="20"/>
                <w:highlight w:val="none"/>
                <w:shd w:val="clear" w:color="auto" w:fill="auto"/>
                <w:lang w:val="en-US" w:eastAsia="zh-CN"/>
              </w:rPr>
              <w:t>3</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EFD706F">
            <w:pPr>
              <w:spacing w:line="240" w:lineRule="auto"/>
              <w:jc w:val="center"/>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b w:val="0"/>
                <w:bCs w:val="0"/>
                <w:color w:val="auto"/>
                <w:sz w:val="20"/>
                <w:szCs w:val="20"/>
                <w:highlight w:val="none"/>
                <w:shd w:val="clear" w:color="auto" w:fill="auto"/>
                <w:lang w:val="en-US" w:eastAsia="zh-CN"/>
              </w:rPr>
              <w:t>医用皮肤减张闭合器</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810FC92">
            <w:pPr>
              <w:spacing w:line="240" w:lineRule="auto"/>
              <w:jc w:val="center"/>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b w:val="0"/>
                <w:bCs w:val="0"/>
                <w:color w:val="auto"/>
                <w:sz w:val="20"/>
                <w:szCs w:val="20"/>
                <w:highlight w:val="none"/>
                <w:shd w:val="clear" w:color="auto" w:fill="auto"/>
                <w:lang w:val="en-US" w:eastAsia="zh-CN"/>
              </w:rPr>
              <w:t>110.6</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758908C">
            <w:pPr>
              <w:spacing w:line="240" w:lineRule="auto"/>
              <w:jc w:val="center"/>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b w:val="0"/>
                <w:bCs w:val="0"/>
                <w:color w:val="auto"/>
                <w:sz w:val="20"/>
                <w:szCs w:val="20"/>
                <w:highlight w:val="none"/>
                <w:shd w:val="clear" w:color="auto" w:fill="auto"/>
                <w:lang w:val="en-US" w:eastAsia="zh-CN"/>
              </w:rPr>
              <w:t>按计划</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405FBAE">
            <w:pPr>
              <w:spacing w:line="240" w:lineRule="auto"/>
              <w:jc w:val="center"/>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b w:val="0"/>
                <w:bCs w:val="0"/>
                <w:color w:val="auto"/>
                <w:sz w:val="20"/>
                <w:szCs w:val="20"/>
                <w:highlight w:val="none"/>
                <w:shd w:val="clear" w:color="auto" w:fill="auto"/>
                <w:lang w:val="en-US" w:eastAsia="zh-CN"/>
              </w:rPr>
              <w:t>片</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E872F80">
            <w:pPr>
              <w:spacing w:line="240" w:lineRule="auto"/>
              <w:jc w:val="center"/>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4C873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35D1EF4">
            <w:pPr>
              <w:spacing w:line="240" w:lineRule="auto"/>
              <w:jc w:val="center"/>
              <w:rPr>
                <w:rFonts w:hint="eastAsia" w:ascii="仿宋" w:hAnsi="仿宋" w:eastAsia="仿宋" w:cs="仿宋"/>
                <w:b/>
                <w:bCs/>
                <w:color w:val="auto"/>
                <w:sz w:val="20"/>
                <w:szCs w:val="20"/>
                <w:highlight w:val="none"/>
                <w:shd w:val="clear" w:color="auto" w:fill="auto"/>
                <w:lang w:val="en-US" w:eastAsia="zh-CN"/>
              </w:rPr>
            </w:pPr>
            <w:r>
              <w:rPr>
                <w:rFonts w:hint="eastAsia" w:ascii="仿宋" w:hAnsi="仿宋" w:eastAsia="仿宋" w:cs="仿宋"/>
                <w:b/>
                <w:bCs/>
                <w:color w:val="auto"/>
                <w:sz w:val="20"/>
                <w:szCs w:val="20"/>
                <w:highlight w:val="none"/>
                <w:shd w:val="clear" w:color="auto" w:fill="auto"/>
                <w:lang w:val="en-US" w:eastAsia="zh-CN"/>
              </w:rPr>
              <w:t>1</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F39CA4D">
            <w:pPr>
              <w:spacing w:line="240" w:lineRule="auto"/>
              <w:jc w:val="center"/>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b w:val="0"/>
                <w:bCs w:val="0"/>
                <w:color w:val="auto"/>
                <w:sz w:val="20"/>
                <w:szCs w:val="20"/>
                <w:highlight w:val="none"/>
                <w:shd w:val="clear" w:color="auto" w:fill="auto"/>
                <w:lang w:val="en-US" w:eastAsia="zh-CN"/>
              </w:rPr>
              <w:t>4</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860945D">
            <w:pPr>
              <w:spacing w:line="240" w:lineRule="auto"/>
              <w:jc w:val="center"/>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b w:val="0"/>
                <w:bCs w:val="0"/>
                <w:color w:val="auto"/>
                <w:sz w:val="20"/>
                <w:szCs w:val="20"/>
                <w:highlight w:val="none"/>
                <w:shd w:val="clear" w:color="auto" w:fill="auto"/>
                <w:lang w:val="en-US" w:eastAsia="zh-CN"/>
              </w:rPr>
              <w:t>医用皮肤减张闭合器</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B871D93">
            <w:pPr>
              <w:spacing w:line="240" w:lineRule="auto"/>
              <w:jc w:val="center"/>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b w:val="0"/>
                <w:bCs w:val="0"/>
                <w:color w:val="auto"/>
                <w:sz w:val="20"/>
                <w:szCs w:val="20"/>
                <w:highlight w:val="none"/>
                <w:shd w:val="clear" w:color="auto" w:fill="auto"/>
                <w:lang w:val="en-US" w:eastAsia="zh-CN"/>
              </w:rPr>
              <w:t>380</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24779E3">
            <w:pPr>
              <w:spacing w:line="240" w:lineRule="auto"/>
              <w:jc w:val="center"/>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b w:val="0"/>
                <w:bCs w:val="0"/>
                <w:color w:val="auto"/>
                <w:sz w:val="20"/>
                <w:szCs w:val="20"/>
                <w:highlight w:val="none"/>
                <w:shd w:val="clear" w:color="auto" w:fill="auto"/>
                <w:lang w:val="en-US" w:eastAsia="zh-CN"/>
              </w:rPr>
              <w:t>按计划</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E7A4ACC">
            <w:pPr>
              <w:spacing w:line="240" w:lineRule="auto"/>
              <w:jc w:val="center"/>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b w:val="0"/>
                <w:bCs w:val="0"/>
                <w:color w:val="auto"/>
                <w:sz w:val="20"/>
                <w:szCs w:val="20"/>
                <w:highlight w:val="none"/>
                <w:shd w:val="clear" w:color="auto" w:fill="auto"/>
                <w:lang w:val="en-US" w:eastAsia="zh-CN"/>
              </w:rPr>
              <w:t>片</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E6F1198">
            <w:pPr>
              <w:spacing w:line="240" w:lineRule="auto"/>
              <w:jc w:val="center"/>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bl>
    <w:p w14:paraId="74DB9CCD">
      <w:pPr>
        <w:pStyle w:val="7"/>
        <w:ind w:firstLine="480"/>
        <w:jc w:val="left"/>
        <w:rPr>
          <w:rFonts w:hint="eastAsia" w:ascii="仿宋" w:hAnsi="仿宋" w:eastAsia="仿宋" w:cs="仿宋"/>
          <w:highlight w:val="none"/>
        </w:rPr>
      </w:pPr>
      <w:r>
        <w:rPr>
          <w:rFonts w:hint="eastAsia" w:ascii="仿宋" w:hAnsi="仿宋" w:eastAsia="仿宋" w:cs="仿宋"/>
          <w:highlight w:val="none"/>
        </w:rPr>
        <w:t>★注：</w:t>
      </w:r>
      <w:r>
        <w:rPr>
          <w:rFonts w:hint="eastAsia" w:ascii="仿宋" w:hAnsi="仿宋" w:eastAsia="仿宋" w:cs="仿宋"/>
          <w:highlight w:val="none"/>
          <w:lang w:eastAsia="zh-CN"/>
        </w:rPr>
        <w:t>竞选人</w:t>
      </w:r>
      <w:r>
        <w:rPr>
          <w:rFonts w:hint="eastAsia" w:ascii="仿宋" w:hAnsi="仿宋" w:eastAsia="仿宋" w:cs="仿宋"/>
          <w:highlight w:val="none"/>
        </w:rPr>
        <w:t>响应产品应当明确品牌和规格型号并指向唯一产品，不能指向唯一产品的，应通过报价表唯一产品说明栏补充说明。</w:t>
      </w:r>
    </w:p>
    <w:p w14:paraId="0F76C8C2">
      <w:pPr>
        <w:pStyle w:val="7"/>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3.2.技术要求</w:t>
      </w:r>
    </w:p>
    <w:p w14:paraId="2C8F1B11">
      <w:pPr>
        <w:pStyle w:val="7"/>
        <w:jc w:val="left"/>
        <w:outlineLvl w:val="9"/>
        <w:rPr>
          <w:rFonts w:hint="eastAsia" w:ascii="仿宋" w:hAnsi="仿宋" w:eastAsia="仿宋" w:cs="仿宋"/>
          <w:b/>
          <w:bCs/>
          <w:sz w:val="22"/>
          <w:szCs w:val="22"/>
          <w:highlight w:val="none"/>
        </w:rPr>
      </w:pPr>
      <w:r>
        <w:rPr>
          <w:rFonts w:hint="eastAsia" w:ascii="仿宋" w:hAnsi="仿宋" w:eastAsia="仿宋" w:cs="仿宋"/>
          <w:b/>
          <w:bCs/>
          <w:sz w:val="22"/>
          <w:szCs w:val="22"/>
          <w:highlight w:val="none"/>
        </w:rPr>
        <w:t>采购包1：</w:t>
      </w:r>
    </w:p>
    <w:tbl>
      <w:tblPr>
        <w:tblStyle w:val="5"/>
        <w:tblW w:w="94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555"/>
        <w:gridCol w:w="1514"/>
        <w:gridCol w:w="3525"/>
        <w:gridCol w:w="2100"/>
      </w:tblGrid>
      <w:tr w14:paraId="78B40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noWrap w:val="0"/>
            <w:vAlign w:val="center"/>
          </w:tcPr>
          <w:p w14:paraId="31CD2A5D">
            <w:pPr>
              <w:numPr>
                <w:ilvl w:val="0"/>
                <w:numId w:val="0"/>
              </w:numPr>
              <w:spacing w:line="240" w:lineRule="auto"/>
              <w:jc w:val="center"/>
              <w:rPr>
                <w:rFonts w:hint="eastAsia" w:ascii="仿宋" w:hAnsi="仿宋" w:eastAsia="仿宋" w:cs="仿宋"/>
                <w:b/>
                <w:bCs/>
                <w:color w:val="auto"/>
                <w:sz w:val="22"/>
                <w:szCs w:val="22"/>
                <w:highlight w:val="none"/>
                <w:shd w:val="clear" w:color="auto" w:fill="auto"/>
                <w:vertAlign w:val="baseline"/>
                <w:lang w:val="en-US" w:eastAsia="zh-CN"/>
              </w:rPr>
            </w:pPr>
            <w:r>
              <w:rPr>
                <w:rFonts w:hint="eastAsia" w:ascii="仿宋" w:hAnsi="仿宋" w:eastAsia="仿宋" w:cs="仿宋"/>
                <w:b/>
                <w:bCs/>
                <w:color w:val="auto"/>
                <w:sz w:val="22"/>
                <w:szCs w:val="22"/>
                <w:highlight w:val="none"/>
                <w:shd w:val="clear" w:color="auto" w:fill="auto"/>
                <w:vertAlign w:val="baseline"/>
                <w:lang w:val="en-US" w:eastAsia="zh-CN"/>
              </w:rPr>
              <w:t>序号</w:t>
            </w:r>
          </w:p>
        </w:tc>
        <w:tc>
          <w:tcPr>
            <w:tcW w:w="1555" w:type="dxa"/>
            <w:noWrap w:val="0"/>
            <w:vAlign w:val="center"/>
          </w:tcPr>
          <w:p w14:paraId="006EC22E">
            <w:pPr>
              <w:numPr>
                <w:ilvl w:val="0"/>
                <w:numId w:val="0"/>
              </w:numPr>
              <w:spacing w:line="240" w:lineRule="auto"/>
              <w:jc w:val="center"/>
              <w:rPr>
                <w:rFonts w:hint="eastAsia" w:ascii="仿宋" w:hAnsi="仿宋" w:eastAsia="仿宋" w:cs="仿宋"/>
                <w:b/>
                <w:bCs/>
                <w:color w:val="auto"/>
                <w:sz w:val="22"/>
                <w:szCs w:val="22"/>
                <w:highlight w:val="none"/>
                <w:shd w:val="clear" w:color="auto" w:fill="auto"/>
                <w:vertAlign w:val="baseline"/>
                <w:lang w:val="en-US" w:eastAsia="zh-CN"/>
              </w:rPr>
            </w:pPr>
            <w:r>
              <w:rPr>
                <w:rFonts w:hint="eastAsia" w:ascii="仿宋" w:hAnsi="仿宋" w:eastAsia="仿宋" w:cs="仿宋"/>
                <w:b/>
                <w:bCs/>
                <w:color w:val="auto"/>
                <w:sz w:val="22"/>
                <w:szCs w:val="22"/>
                <w:highlight w:val="none"/>
                <w:shd w:val="clear" w:color="auto" w:fill="auto"/>
                <w:vertAlign w:val="baseline"/>
                <w:lang w:val="en-US" w:eastAsia="zh-CN"/>
              </w:rPr>
              <w:t>名称</w:t>
            </w:r>
          </w:p>
        </w:tc>
        <w:tc>
          <w:tcPr>
            <w:tcW w:w="1514" w:type="dxa"/>
            <w:noWrap w:val="0"/>
            <w:vAlign w:val="center"/>
          </w:tcPr>
          <w:p w14:paraId="43A81F5F">
            <w:pPr>
              <w:numPr>
                <w:ilvl w:val="0"/>
                <w:numId w:val="0"/>
              </w:numPr>
              <w:spacing w:line="240" w:lineRule="auto"/>
              <w:jc w:val="center"/>
              <w:rPr>
                <w:rFonts w:hint="eastAsia" w:ascii="仿宋" w:hAnsi="仿宋" w:eastAsia="仿宋" w:cs="仿宋"/>
                <w:b/>
                <w:bCs/>
                <w:color w:val="auto"/>
                <w:sz w:val="22"/>
                <w:szCs w:val="22"/>
                <w:highlight w:val="none"/>
                <w:shd w:val="clear" w:color="auto" w:fill="auto"/>
                <w:vertAlign w:val="baseline"/>
                <w:lang w:val="en-US" w:eastAsia="zh-CN"/>
              </w:rPr>
            </w:pPr>
            <w:r>
              <w:rPr>
                <w:rFonts w:hint="eastAsia" w:ascii="仿宋" w:hAnsi="仿宋" w:eastAsia="仿宋" w:cs="仿宋"/>
                <w:b/>
                <w:bCs/>
                <w:color w:val="auto"/>
                <w:sz w:val="22"/>
                <w:szCs w:val="22"/>
                <w:highlight w:val="none"/>
                <w:shd w:val="clear" w:color="auto" w:fill="auto"/>
                <w:vertAlign w:val="baseline"/>
                <w:lang w:val="en-US" w:eastAsia="zh-CN"/>
              </w:rPr>
              <w:t>★医保耗材代码</w:t>
            </w:r>
          </w:p>
        </w:tc>
        <w:tc>
          <w:tcPr>
            <w:tcW w:w="3525" w:type="dxa"/>
            <w:noWrap w:val="0"/>
            <w:vAlign w:val="center"/>
          </w:tcPr>
          <w:p w14:paraId="1B673160">
            <w:pPr>
              <w:numPr>
                <w:ilvl w:val="0"/>
                <w:numId w:val="0"/>
              </w:numPr>
              <w:spacing w:line="240" w:lineRule="auto"/>
              <w:jc w:val="center"/>
              <w:rPr>
                <w:rFonts w:hint="eastAsia" w:ascii="仿宋" w:hAnsi="仿宋" w:eastAsia="仿宋" w:cs="仿宋"/>
                <w:b/>
                <w:bCs/>
                <w:color w:val="auto"/>
                <w:sz w:val="22"/>
                <w:szCs w:val="22"/>
                <w:highlight w:val="none"/>
                <w:shd w:val="clear" w:color="auto" w:fill="auto"/>
                <w:vertAlign w:val="baseline"/>
                <w:lang w:val="en-US" w:eastAsia="zh-CN"/>
              </w:rPr>
            </w:pPr>
            <w:r>
              <w:rPr>
                <w:rFonts w:hint="eastAsia" w:ascii="仿宋" w:hAnsi="仿宋" w:eastAsia="仿宋" w:cs="仿宋"/>
                <w:b/>
                <w:bCs/>
                <w:color w:val="auto"/>
                <w:sz w:val="22"/>
                <w:szCs w:val="22"/>
                <w:highlight w:val="none"/>
                <w:shd w:val="clear" w:color="auto" w:fill="auto"/>
                <w:vertAlign w:val="baseline"/>
                <w:lang w:val="en-US" w:eastAsia="zh-CN"/>
              </w:rPr>
              <w:t>★适应症/用途</w:t>
            </w:r>
          </w:p>
        </w:tc>
        <w:tc>
          <w:tcPr>
            <w:tcW w:w="2100" w:type="dxa"/>
            <w:noWrap w:val="0"/>
            <w:vAlign w:val="center"/>
          </w:tcPr>
          <w:p w14:paraId="6D7AE7CA">
            <w:pPr>
              <w:numPr>
                <w:ilvl w:val="0"/>
                <w:numId w:val="0"/>
              </w:numPr>
              <w:spacing w:line="240" w:lineRule="auto"/>
              <w:jc w:val="center"/>
              <w:rPr>
                <w:rFonts w:hint="eastAsia" w:ascii="仿宋" w:hAnsi="仿宋" w:eastAsia="仿宋" w:cs="仿宋"/>
                <w:b/>
                <w:bCs/>
                <w:color w:val="auto"/>
                <w:sz w:val="22"/>
                <w:szCs w:val="22"/>
                <w:highlight w:val="none"/>
                <w:shd w:val="clear" w:color="auto" w:fill="auto"/>
                <w:vertAlign w:val="baseline"/>
                <w:lang w:val="en-US" w:eastAsia="zh-CN"/>
              </w:rPr>
            </w:pPr>
            <w:r>
              <w:rPr>
                <w:rFonts w:hint="eastAsia" w:ascii="仿宋" w:hAnsi="仿宋" w:eastAsia="仿宋" w:cs="仿宋"/>
                <w:b/>
                <w:bCs/>
                <w:color w:val="auto"/>
                <w:sz w:val="22"/>
                <w:szCs w:val="22"/>
                <w:highlight w:val="none"/>
                <w:shd w:val="clear" w:color="auto" w:fill="auto"/>
                <w:vertAlign w:val="baseline"/>
                <w:lang w:val="en-US" w:eastAsia="zh-CN"/>
              </w:rPr>
              <w:t>参考型号/规格</w:t>
            </w:r>
          </w:p>
        </w:tc>
      </w:tr>
      <w:tr w14:paraId="1573F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noWrap w:val="0"/>
            <w:vAlign w:val="center"/>
          </w:tcPr>
          <w:p w14:paraId="64ECBE53">
            <w:pPr>
              <w:numPr>
                <w:ilvl w:val="0"/>
                <w:numId w:val="0"/>
              </w:numPr>
              <w:spacing w:line="240" w:lineRule="auto"/>
              <w:jc w:val="center"/>
              <w:rPr>
                <w:rFonts w:hint="eastAsia" w:ascii="仿宋" w:hAnsi="仿宋" w:eastAsia="仿宋" w:cs="仿宋"/>
                <w:b w:val="0"/>
                <w:bCs w:val="0"/>
                <w:color w:val="auto"/>
                <w:sz w:val="20"/>
                <w:szCs w:val="20"/>
                <w:highlight w:val="none"/>
                <w:shd w:val="clear" w:color="auto" w:fill="auto"/>
                <w:vertAlign w:val="baseline"/>
                <w:lang w:val="en-US" w:eastAsia="zh-CN"/>
              </w:rPr>
            </w:pPr>
            <w:r>
              <w:rPr>
                <w:rFonts w:hint="eastAsia" w:ascii="仿宋" w:hAnsi="仿宋" w:eastAsia="仿宋" w:cs="仿宋"/>
                <w:b w:val="0"/>
                <w:bCs w:val="0"/>
                <w:color w:val="auto"/>
                <w:sz w:val="20"/>
                <w:szCs w:val="20"/>
                <w:highlight w:val="none"/>
                <w:shd w:val="clear" w:color="auto" w:fill="auto"/>
                <w:vertAlign w:val="baseline"/>
                <w:lang w:val="en-US" w:eastAsia="zh-CN"/>
              </w:rPr>
              <w:t>1</w:t>
            </w:r>
          </w:p>
        </w:tc>
        <w:tc>
          <w:tcPr>
            <w:tcW w:w="1555" w:type="dxa"/>
            <w:noWrap w:val="0"/>
            <w:vAlign w:val="center"/>
          </w:tcPr>
          <w:p w14:paraId="38A604B0">
            <w:pPr>
              <w:keepNext w:val="0"/>
              <w:keepLines w:val="0"/>
              <w:widowControl/>
              <w:suppressLineNumbers w:val="0"/>
              <w:spacing w:line="240" w:lineRule="auto"/>
              <w:jc w:val="center"/>
              <w:textAlignment w:val="center"/>
              <w:rPr>
                <w:rFonts w:hint="eastAsia" w:ascii="仿宋" w:hAnsi="仿宋" w:eastAsia="仿宋" w:cs="仿宋"/>
                <w:b w:val="0"/>
                <w:bCs w:val="0"/>
                <w:color w:val="auto"/>
                <w:sz w:val="20"/>
                <w:szCs w:val="20"/>
                <w:highlight w:val="none"/>
                <w:shd w:val="clear" w:color="auto" w:fill="auto"/>
                <w:vertAlign w:val="baseline"/>
                <w:lang w:val="en-US" w:eastAsia="zh-CN"/>
              </w:rPr>
            </w:pPr>
            <w:r>
              <w:rPr>
                <w:rFonts w:hint="eastAsia" w:ascii="仿宋" w:hAnsi="仿宋" w:eastAsia="仿宋" w:cs="仿宋"/>
                <w:i w:val="0"/>
                <w:iCs w:val="0"/>
                <w:color w:val="000000"/>
                <w:kern w:val="0"/>
                <w:sz w:val="20"/>
                <w:szCs w:val="20"/>
                <w:u w:val="none"/>
                <w:lang w:val="en-US" w:eastAsia="zh-CN" w:bidi="ar"/>
              </w:rPr>
              <w:t>一次性使用喉罩气道导管</w:t>
            </w:r>
          </w:p>
        </w:tc>
        <w:tc>
          <w:tcPr>
            <w:tcW w:w="1514" w:type="dxa"/>
            <w:noWrap w:val="0"/>
            <w:vAlign w:val="center"/>
          </w:tcPr>
          <w:p w14:paraId="6782755F">
            <w:pPr>
              <w:keepNext w:val="0"/>
              <w:keepLines w:val="0"/>
              <w:widowControl/>
              <w:suppressLineNumbers w:val="0"/>
              <w:spacing w:line="240" w:lineRule="auto"/>
              <w:jc w:val="center"/>
              <w:textAlignment w:val="center"/>
              <w:rPr>
                <w:rFonts w:hint="eastAsia" w:ascii="仿宋" w:hAnsi="仿宋" w:eastAsia="仿宋" w:cs="仿宋"/>
                <w:b w:val="0"/>
                <w:bCs w:val="0"/>
                <w:color w:val="auto"/>
                <w:sz w:val="20"/>
                <w:szCs w:val="20"/>
                <w:highlight w:val="none"/>
                <w:shd w:val="clear" w:color="auto" w:fill="auto"/>
                <w:vertAlign w:val="baseline"/>
                <w:lang w:val="en-US" w:eastAsia="zh-CN"/>
              </w:rPr>
            </w:pPr>
            <w:r>
              <w:rPr>
                <w:rFonts w:hint="eastAsia" w:ascii="仿宋" w:hAnsi="仿宋" w:eastAsia="仿宋" w:cs="仿宋"/>
                <w:i w:val="0"/>
                <w:iCs w:val="0"/>
                <w:color w:val="000000"/>
                <w:kern w:val="0"/>
                <w:sz w:val="20"/>
                <w:szCs w:val="20"/>
                <w:u w:val="none"/>
                <w:lang w:val="en-US" w:eastAsia="zh-CN" w:bidi="ar"/>
              </w:rPr>
              <w:t>C142509000</w:t>
            </w:r>
          </w:p>
        </w:tc>
        <w:tc>
          <w:tcPr>
            <w:tcW w:w="3525" w:type="dxa"/>
            <w:noWrap w:val="0"/>
            <w:vAlign w:val="center"/>
          </w:tcPr>
          <w:p w14:paraId="43D22259">
            <w:pPr>
              <w:keepNext w:val="0"/>
              <w:keepLines w:val="0"/>
              <w:widowControl/>
              <w:suppressLineNumbers w:val="0"/>
              <w:spacing w:line="240" w:lineRule="auto"/>
              <w:jc w:val="left"/>
              <w:textAlignment w:val="center"/>
              <w:rPr>
                <w:rFonts w:hint="eastAsia" w:ascii="仿宋" w:hAnsi="仿宋" w:eastAsia="仿宋" w:cs="仿宋"/>
                <w:b w:val="0"/>
                <w:bCs w:val="0"/>
                <w:color w:val="auto"/>
                <w:sz w:val="20"/>
                <w:szCs w:val="20"/>
                <w:highlight w:val="none"/>
                <w:shd w:val="clear" w:color="auto" w:fill="auto"/>
                <w:vertAlign w:val="baseline"/>
                <w:lang w:val="en-US" w:eastAsia="zh-CN"/>
              </w:rPr>
            </w:pPr>
            <w:r>
              <w:rPr>
                <w:rFonts w:hint="eastAsia" w:ascii="仿宋" w:hAnsi="仿宋" w:eastAsia="仿宋" w:cs="仿宋"/>
                <w:i w:val="0"/>
                <w:iCs w:val="0"/>
                <w:color w:val="000000"/>
                <w:kern w:val="0"/>
                <w:sz w:val="20"/>
                <w:szCs w:val="20"/>
                <w:u w:val="none"/>
                <w:lang w:val="en-US" w:eastAsia="zh-CN" w:bidi="ar"/>
              </w:rPr>
              <w:t>用于全身麻醉或需急救的病人短期人工通气支持使用，以达到确保上呼吸道通畅；</w:t>
            </w:r>
          </w:p>
        </w:tc>
        <w:tc>
          <w:tcPr>
            <w:tcW w:w="2100" w:type="dxa"/>
            <w:noWrap w:val="0"/>
            <w:vAlign w:val="center"/>
          </w:tcPr>
          <w:p w14:paraId="17E7FA1D">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center"/>
              <w:rPr>
                <w:rFonts w:hint="eastAsia" w:ascii="仿宋" w:hAnsi="仿宋" w:eastAsia="仿宋" w:cs="仿宋"/>
                <w:b w:val="0"/>
                <w:bCs w:val="0"/>
                <w:color w:val="auto"/>
                <w:sz w:val="20"/>
                <w:szCs w:val="20"/>
                <w:highlight w:val="none"/>
                <w:shd w:val="clear" w:color="auto" w:fill="auto"/>
                <w:vertAlign w:val="baseline"/>
                <w:lang w:val="en-US" w:eastAsia="zh-CN"/>
              </w:rPr>
            </w:pPr>
            <w:r>
              <w:rPr>
                <w:rFonts w:hint="eastAsia" w:ascii="仿宋" w:hAnsi="仿宋" w:eastAsia="仿宋" w:cs="仿宋"/>
                <w:i w:val="0"/>
                <w:iCs w:val="0"/>
                <w:color w:val="000000"/>
                <w:kern w:val="0"/>
                <w:sz w:val="20"/>
                <w:szCs w:val="20"/>
                <w:u w:val="none"/>
                <w:lang w:val="en-US" w:eastAsia="zh-CN" w:bidi="ar"/>
              </w:rPr>
              <w:t>3.0/4.0</w:t>
            </w:r>
          </w:p>
        </w:tc>
      </w:tr>
      <w:tr w14:paraId="14395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noWrap w:val="0"/>
            <w:vAlign w:val="center"/>
          </w:tcPr>
          <w:p w14:paraId="20A5B59E">
            <w:pPr>
              <w:numPr>
                <w:ilvl w:val="0"/>
                <w:numId w:val="0"/>
              </w:numPr>
              <w:spacing w:line="240" w:lineRule="auto"/>
              <w:jc w:val="center"/>
              <w:rPr>
                <w:rFonts w:hint="eastAsia" w:ascii="仿宋" w:hAnsi="仿宋" w:eastAsia="仿宋" w:cs="仿宋"/>
                <w:b w:val="0"/>
                <w:bCs w:val="0"/>
                <w:color w:val="auto"/>
                <w:sz w:val="20"/>
                <w:szCs w:val="20"/>
                <w:highlight w:val="none"/>
                <w:shd w:val="clear" w:color="auto" w:fill="auto"/>
                <w:vertAlign w:val="baseline"/>
                <w:lang w:val="en-US" w:eastAsia="zh-CN"/>
              </w:rPr>
            </w:pPr>
            <w:r>
              <w:rPr>
                <w:rFonts w:hint="eastAsia" w:ascii="仿宋" w:hAnsi="仿宋" w:eastAsia="仿宋" w:cs="仿宋"/>
                <w:b w:val="0"/>
                <w:bCs w:val="0"/>
                <w:color w:val="auto"/>
                <w:sz w:val="20"/>
                <w:szCs w:val="20"/>
                <w:highlight w:val="none"/>
                <w:shd w:val="clear" w:color="auto" w:fill="auto"/>
                <w:vertAlign w:val="baseline"/>
                <w:lang w:val="en-US" w:eastAsia="zh-CN"/>
              </w:rPr>
              <w:t>2</w:t>
            </w:r>
          </w:p>
        </w:tc>
        <w:tc>
          <w:tcPr>
            <w:tcW w:w="1555" w:type="dxa"/>
            <w:noWrap w:val="0"/>
            <w:vAlign w:val="center"/>
          </w:tcPr>
          <w:p w14:paraId="199751D5">
            <w:pPr>
              <w:keepNext w:val="0"/>
              <w:keepLines w:val="0"/>
              <w:widowControl/>
              <w:suppressLineNumbers w:val="0"/>
              <w:spacing w:line="240" w:lineRule="auto"/>
              <w:jc w:val="center"/>
              <w:textAlignment w:val="center"/>
              <w:rPr>
                <w:rFonts w:hint="eastAsia" w:ascii="仿宋" w:hAnsi="仿宋" w:eastAsia="仿宋" w:cs="仿宋"/>
                <w:b w:val="0"/>
                <w:bCs w:val="0"/>
                <w:color w:val="auto"/>
                <w:sz w:val="20"/>
                <w:szCs w:val="20"/>
                <w:highlight w:val="none"/>
                <w:shd w:val="clear" w:color="auto" w:fill="auto"/>
                <w:vertAlign w:val="baseline"/>
                <w:lang w:val="en-US" w:eastAsia="zh-CN"/>
              </w:rPr>
            </w:pPr>
            <w:r>
              <w:rPr>
                <w:rFonts w:hint="eastAsia" w:ascii="仿宋" w:hAnsi="仿宋" w:eastAsia="仿宋" w:cs="仿宋"/>
                <w:i w:val="0"/>
                <w:iCs w:val="0"/>
                <w:color w:val="000000"/>
                <w:kern w:val="0"/>
                <w:sz w:val="20"/>
                <w:szCs w:val="20"/>
                <w:u w:val="none"/>
                <w:lang w:val="en-US" w:eastAsia="zh-CN" w:bidi="ar"/>
              </w:rPr>
              <w:t>一次性使用无菌气道插管</w:t>
            </w:r>
          </w:p>
        </w:tc>
        <w:tc>
          <w:tcPr>
            <w:tcW w:w="1514" w:type="dxa"/>
            <w:noWrap w:val="0"/>
            <w:vAlign w:val="center"/>
          </w:tcPr>
          <w:p w14:paraId="6C44BF1F">
            <w:pPr>
              <w:keepNext w:val="0"/>
              <w:keepLines w:val="0"/>
              <w:widowControl/>
              <w:suppressLineNumbers w:val="0"/>
              <w:spacing w:line="240" w:lineRule="auto"/>
              <w:jc w:val="center"/>
              <w:textAlignment w:val="center"/>
              <w:rPr>
                <w:rFonts w:hint="eastAsia" w:ascii="仿宋" w:hAnsi="仿宋" w:eastAsia="仿宋" w:cs="仿宋"/>
                <w:b w:val="0"/>
                <w:bCs w:val="0"/>
                <w:color w:val="auto"/>
                <w:sz w:val="20"/>
                <w:szCs w:val="20"/>
                <w:highlight w:val="none"/>
                <w:shd w:val="clear" w:color="auto" w:fill="auto"/>
                <w:vertAlign w:val="baseline"/>
                <w:lang w:val="en-US" w:eastAsia="zh-CN"/>
              </w:rPr>
            </w:pPr>
            <w:r>
              <w:rPr>
                <w:rFonts w:hint="eastAsia" w:ascii="仿宋" w:hAnsi="仿宋" w:eastAsia="仿宋" w:cs="仿宋"/>
                <w:i w:val="0"/>
                <w:iCs w:val="0"/>
                <w:color w:val="000000"/>
                <w:kern w:val="0"/>
                <w:sz w:val="20"/>
                <w:szCs w:val="20"/>
                <w:u w:val="none"/>
                <w:lang w:val="en-US" w:eastAsia="zh-CN" w:bidi="ar"/>
              </w:rPr>
              <w:t>C142501209</w:t>
            </w:r>
          </w:p>
        </w:tc>
        <w:tc>
          <w:tcPr>
            <w:tcW w:w="3525" w:type="dxa"/>
            <w:noWrap w:val="0"/>
            <w:vAlign w:val="center"/>
          </w:tcPr>
          <w:p w14:paraId="1CBF15FA">
            <w:pPr>
              <w:keepNext w:val="0"/>
              <w:keepLines w:val="0"/>
              <w:widowControl/>
              <w:suppressLineNumbers w:val="0"/>
              <w:spacing w:line="240" w:lineRule="auto"/>
              <w:jc w:val="left"/>
              <w:textAlignment w:val="center"/>
              <w:rPr>
                <w:rFonts w:hint="eastAsia" w:ascii="仿宋" w:hAnsi="仿宋" w:eastAsia="仿宋" w:cs="仿宋"/>
                <w:b w:val="0"/>
                <w:bCs w:val="0"/>
                <w:color w:val="auto"/>
                <w:sz w:val="20"/>
                <w:szCs w:val="20"/>
                <w:highlight w:val="none"/>
                <w:shd w:val="clear" w:color="auto" w:fill="auto"/>
                <w:vertAlign w:val="baseline"/>
                <w:lang w:val="en-US" w:eastAsia="zh-CN"/>
              </w:rPr>
            </w:pPr>
            <w:r>
              <w:rPr>
                <w:rFonts w:hint="eastAsia" w:ascii="仿宋" w:hAnsi="仿宋" w:eastAsia="仿宋" w:cs="仿宋"/>
                <w:i w:val="0"/>
                <w:iCs w:val="0"/>
                <w:color w:val="000000"/>
                <w:kern w:val="0"/>
                <w:sz w:val="20"/>
                <w:szCs w:val="20"/>
                <w:u w:val="none"/>
                <w:lang w:val="en-US" w:eastAsia="zh-CN" w:bidi="ar"/>
              </w:rPr>
              <w:t>供临床麻醉或急救时建立人工气道用；</w:t>
            </w:r>
          </w:p>
        </w:tc>
        <w:tc>
          <w:tcPr>
            <w:tcW w:w="2100" w:type="dxa"/>
            <w:noWrap w:val="0"/>
            <w:vAlign w:val="center"/>
          </w:tcPr>
          <w:p w14:paraId="4B7B6CAB">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center"/>
              <w:rPr>
                <w:rFonts w:hint="eastAsia" w:ascii="仿宋" w:hAnsi="仿宋" w:eastAsia="仿宋" w:cs="仿宋"/>
                <w:b w:val="0"/>
                <w:bCs w:val="0"/>
                <w:color w:val="auto"/>
                <w:sz w:val="20"/>
                <w:szCs w:val="20"/>
                <w:highlight w:val="none"/>
                <w:shd w:val="clear" w:color="auto" w:fill="auto"/>
                <w:vertAlign w:val="baseline"/>
                <w:lang w:val="en-US" w:eastAsia="zh-CN"/>
              </w:rPr>
            </w:pPr>
            <w:r>
              <w:rPr>
                <w:rFonts w:hint="eastAsia" w:ascii="仿宋" w:hAnsi="仿宋" w:eastAsia="仿宋" w:cs="仿宋"/>
                <w:i w:val="0"/>
                <w:iCs w:val="0"/>
                <w:color w:val="000000"/>
                <w:kern w:val="0"/>
                <w:sz w:val="20"/>
                <w:szCs w:val="20"/>
                <w:u w:val="none"/>
                <w:lang w:val="en-US" w:eastAsia="zh-CN" w:bidi="ar"/>
              </w:rPr>
              <w:t>3.0/5.0/7.0</w:t>
            </w:r>
          </w:p>
        </w:tc>
      </w:tr>
      <w:tr w14:paraId="4C6B4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noWrap w:val="0"/>
            <w:vAlign w:val="center"/>
          </w:tcPr>
          <w:p w14:paraId="37F881CD">
            <w:pPr>
              <w:numPr>
                <w:ilvl w:val="0"/>
                <w:numId w:val="0"/>
              </w:numPr>
              <w:spacing w:line="240" w:lineRule="auto"/>
              <w:jc w:val="center"/>
              <w:rPr>
                <w:rFonts w:hint="eastAsia" w:ascii="仿宋" w:hAnsi="仿宋" w:eastAsia="仿宋" w:cs="仿宋"/>
                <w:b w:val="0"/>
                <w:bCs w:val="0"/>
                <w:color w:val="auto"/>
                <w:sz w:val="20"/>
                <w:szCs w:val="20"/>
                <w:highlight w:val="none"/>
                <w:shd w:val="clear" w:color="auto" w:fill="auto"/>
                <w:vertAlign w:val="baseline"/>
                <w:lang w:val="en-US" w:eastAsia="zh-CN"/>
              </w:rPr>
            </w:pPr>
            <w:r>
              <w:rPr>
                <w:rFonts w:hint="eastAsia" w:ascii="仿宋" w:hAnsi="仿宋" w:eastAsia="仿宋" w:cs="仿宋"/>
                <w:b w:val="0"/>
                <w:bCs w:val="0"/>
                <w:color w:val="auto"/>
                <w:sz w:val="20"/>
                <w:szCs w:val="20"/>
                <w:highlight w:val="none"/>
                <w:shd w:val="clear" w:color="auto" w:fill="auto"/>
                <w:vertAlign w:val="baseline"/>
                <w:lang w:val="en-US" w:eastAsia="zh-CN"/>
              </w:rPr>
              <w:t>3</w:t>
            </w:r>
          </w:p>
        </w:tc>
        <w:tc>
          <w:tcPr>
            <w:tcW w:w="1555" w:type="dxa"/>
            <w:noWrap w:val="0"/>
            <w:vAlign w:val="center"/>
          </w:tcPr>
          <w:p w14:paraId="030F30DE">
            <w:pPr>
              <w:keepNext w:val="0"/>
              <w:keepLines w:val="0"/>
              <w:widowControl/>
              <w:suppressLineNumbers w:val="0"/>
              <w:spacing w:line="240" w:lineRule="auto"/>
              <w:jc w:val="center"/>
              <w:textAlignment w:val="center"/>
              <w:rPr>
                <w:rFonts w:hint="eastAsia" w:ascii="仿宋" w:hAnsi="仿宋" w:eastAsia="仿宋" w:cs="仿宋"/>
                <w:b w:val="0"/>
                <w:bCs w:val="0"/>
                <w:color w:val="auto"/>
                <w:sz w:val="20"/>
                <w:szCs w:val="20"/>
                <w:highlight w:val="none"/>
                <w:shd w:val="clear" w:color="auto" w:fill="auto"/>
                <w:vertAlign w:val="baseline"/>
                <w:lang w:val="en-US" w:eastAsia="zh-CN"/>
              </w:rPr>
            </w:pPr>
            <w:r>
              <w:rPr>
                <w:rFonts w:hint="eastAsia" w:ascii="仿宋" w:hAnsi="仿宋" w:eastAsia="仿宋" w:cs="仿宋"/>
                <w:i w:val="0"/>
                <w:iCs w:val="0"/>
                <w:color w:val="000000"/>
                <w:kern w:val="0"/>
                <w:sz w:val="20"/>
                <w:szCs w:val="20"/>
                <w:u w:val="none"/>
                <w:lang w:val="en-US" w:eastAsia="zh-CN" w:bidi="ar"/>
              </w:rPr>
              <w:t>医用皮肤减张闭合器</w:t>
            </w:r>
          </w:p>
        </w:tc>
        <w:tc>
          <w:tcPr>
            <w:tcW w:w="1514" w:type="dxa"/>
            <w:noWrap w:val="0"/>
            <w:vAlign w:val="center"/>
          </w:tcPr>
          <w:p w14:paraId="4BCF1548">
            <w:pPr>
              <w:keepNext w:val="0"/>
              <w:keepLines w:val="0"/>
              <w:widowControl/>
              <w:suppressLineNumbers w:val="0"/>
              <w:spacing w:line="240" w:lineRule="auto"/>
              <w:jc w:val="center"/>
              <w:textAlignment w:val="center"/>
              <w:rPr>
                <w:rFonts w:hint="eastAsia" w:ascii="仿宋" w:hAnsi="仿宋" w:eastAsia="仿宋" w:cs="仿宋"/>
                <w:b w:val="0"/>
                <w:bCs w:val="0"/>
                <w:color w:val="auto"/>
                <w:sz w:val="20"/>
                <w:szCs w:val="20"/>
                <w:highlight w:val="none"/>
                <w:shd w:val="clear" w:color="auto" w:fill="auto"/>
                <w:vertAlign w:val="baseline"/>
                <w:lang w:val="en-US" w:eastAsia="zh-CN"/>
              </w:rPr>
            </w:pPr>
            <w:r>
              <w:rPr>
                <w:rFonts w:hint="eastAsia" w:ascii="仿宋" w:hAnsi="仿宋" w:eastAsia="仿宋" w:cs="仿宋"/>
                <w:i w:val="0"/>
                <w:iCs w:val="0"/>
                <w:color w:val="000000"/>
                <w:kern w:val="0"/>
                <w:sz w:val="20"/>
                <w:szCs w:val="20"/>
                <w:u w:val="none"/>
                <w:lang w:val="en-US" w:eastAsia="zh-CN" w:bidi="ar"/>
              </w:rPr>
              <w:t>C140806187</w:t>
            </w:r>
          </w:p>
        </w:tc>
        <w:tc>
          <w:tcPr>
            <w:tcW w:w="3525" w:type="dxa"/>
            <w:noWrap w:val="0"/>
            <w:vAlign w:val="center"/>
          </w:tcPr>
          <w:p w14:paraId="17A7E7FA">
            <w:pPr>
              <w:keepNext w:val="0"/>
              <w:keepLines w:val="0"/>
              <w:widowControl/>
              <w:suppressLineNumbers w:val="0"/>
              <w:spacing w:line="240" w:lineRule="auto"/>
              <w:jc w:val="left"/>
              <w:textAlignment w:val="center"/>
              <w:rPr>
                <w:rFonts w:hint="eastAsia" w:ascii="仿宋" w:hAnsi="仿宋" w:eastAsia="仿宋" w:cs="仿宋"/>
                <w:b w:val="0"/>
                <w:bCs w:val="0"/>
                <w:color w:val="auto"/>
                <w:sz w:val="20"/>
                <w:szCs w:val="20"/>
                <w:highlight w:val="none"/>
                <w:shd w:val="clear" w:color="auto" w:fill="auto"/>
                <w:vertAlign w:val="baseline"/>
                <w:lang w:val="en-US" w:eastAsia="zh-CN"/>
              </w:rPr>
            </w:pPr>
            <w:r>
              <w:rPr>
                <w:rFonts w:hint="eastAsia" w:ascii="仿宋" w:hAnsi="仿宋" w:eastAsia="仿宋" w:cs="仿宋"/>
                <w:i w:val="0"/>
                <w:iCs w:val="0"/>
                <w:color w:val="000000"/>
                <w:kern w:val="0"/>
                <w:sz w:val="20"/>
                <w:szCs w:val="20"/>
                <w:u w:val="none"/>
                <w:lang w:val="en-US" w:eastAsia="zh-CN" w:bidi="ar"/>
              </w:rPr>
              <w:t>适用于躯干及四肢(关节及活动幅度较大部位除外)手术伤口的闭合处理,减少伤口张力，促进伤口愈合，抑制瘢痕增生，实现瘢痕最小化。</w:t>
            </w:r>
          </w:p>
        </w:tc>
        <w:tc>
          <w:tcPr>
            <w:tcW w:w="2100" w:type="dxa"/>
            <w:noWrap w:val="0"/>
            <w:vAlign w:val="center"/>
          </w:tcPr>
          <w:p w14:paraId="04632E5E">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center"/>
              <w:rPr>
                <w:rFonts w:hint="eastAsia" w:ascii="仿宋" w:hAnsi="仿宋" w:eastAsia="仿宋" w:cs="仿宋"/>
                <w:b w:val="0"/>
                <w:bCs w:val="0"/>
                <w:color w:val="auto"/>
                <w:sz w:val="20"/>
                <w:szCs w:val="20"/>
                <w:highlight w:val="none"/>
                <w:shd w:val="clear" w:color="auto" w:fill="auto"/>
                <w:vertAlign w:val="baseline"/>
                <w:lang w:val="en-US" w:eastAsia="zh-CN"/>
              </w:rPr>
            </w:pPr>
            <w:r>
              <w:rPr>
                <w:rFonts w:hint="eastAsia" w:ascii="仿宋" w:hAnsi="仿宋" w:eastAsia="仿宋" w:cs="仿宋"/>
                <w:i w:val="0"/>
                <w:iCs w:val="0"/>
                <w:color w:val="000000"/>
                <w:kern w:val="0"/>
                <w:sz w:val="20"/>
                <w:szCs w:val="20"/>
                <w:u w:val="none"/>
                <w:lang w:val="en-US" w:eastAsia="zh-CN" w:bidi="ar"/>
              </w:rPr>
              <w:t>分体型、25mm*10mm</w:t>
            </w:r>
          </w:p>
        </w:tc>
      </w:tr>
      <w:tr w14:paraId="0659C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noWrap w:val="0"/>
            <w:vAlign w:val="center"/>
          </w:tcPr>
          <w:p w14:paraId="1F84DA83">
            <w:pPr>
              <w:numPr>
                <w:ilvl w:val="0"/>
                <w:numId w:val="0"/>
              </w:numPr>
              <w:spacing w:line="240" w:lineRule="auto"/>
              <w:jc w:val="center"/>
              <w:rPr>
                <w:rFonts w:hint="eastAsia" w:ascii="仿宋" w:hAnsi="仿宋" w:eastAsia="仿宋" w:cs="仿宋"/>
                <w:b w:val="0"/>
                <w:bCs w:val="0"/>
                <w:color w:val="auto"/>
                <w:sz w:val="20"/>
                <w:szCs w:val="20"/>
                <w:highlight w:val="none"/>
                <w:shd w:val="clear" w:color="auto" w:fill="auto"/>
                <w:vertAlign w:val="baseline"/>
                <w:lang w:val="en-US" w:eastAsia="zh-CN"/>
              </w:rPr>
            </w:pPr>
            <w:r>
              <w:rPr>
                <w:rFonts w:hint="eastAsia" w:ascii="仿宋" w:hAnsi="仿宋" w:eastAsia="仿宋" w:cs="仿宋"/>
                <w:b w:val="0"/>
                <w:bCs w:val="0"/>
                <w:color w:val="auto"/>
                <w:sz w:val="20"/>
                <w:szCs w:val="20"/>
                <w:highlight w:val="none"/>
                <w:shd w:val="clear" w:color="auto" w:fill="auto"/>
                <w:vertAlign w:val="baseline"/>
                <w:lang w:val="en-US" w:eastAsia="zh-CN"/>
              </w:rPr>
              <w:t>4</w:t>
            </w:r>
          </w:p>
        </w:tc>
        <w:tc>
          <w:tcPr>
            <w:tcW w:w="1555" w:type="dxa"/>
            <w:noWrap w:val="0"/>
            <w:vAlign w:val="center"/>
          </w:tcPr>
          <w:p w14:paraId="2EA78586">
            <w:pPr>
              <w:keepNext w:val="0"/>
              <w:keepLines w:val="0"/>
              <w:widowControl/>
              <w:suppressLineNumbers w:val="0"/>
              <w:spacing w:line="240" w:lineRule="auto"/>
              <w:jc w:val="center"/>
              <w:textAlignment w:val="center"/>
              <w:rPr>
                <w:rFonts w:hint="eastAsia" w:ascii="仿宋" w:hAnsi="仿宋" w:eastAsia="仿宋" w:cs="仿宋"/>
                <w:b w:val="0"/>
                <w:bCs w:val="0"/>
                <w:color w:val="auto"/>
                <w:sz w:val="20"/>
                <w:szCs w:val="20"/>
                <w:highlight w:val="none"/>
                <w:shd w:val="clear" w:color="auto" w:fill="auto"/>
                <w:vertAlign w:val="baseline"/>
                <w:lang w:val="en-US" w:eastAsia="zh-CN"/>
              </w:rPr>
            </w:pPr>
            <w:r>
              <w:rPr>
                <w:rFonts w:hint="eastAsia" w:ascii="仿宋" w:hAnsi="仿宋" w:eastAsia="仿宋" w:cs="仿宋"/>
                <w:i w:val="0"/>
                <w:iCs w:val="0"/>
                <w:color w:val="000000"/>
                <w:kern w:val="0"/>
                <w:sz w:val="20"/>
                <w:szCs w:val="20"/>
                <w:u w:val="none"/>
                <w:lang w:val="en-US" w:eastAsia="zh-CN" w:bidi="ar"/>
              </w:rPr>
              <w:t>医用皮肤减张闭合器</w:t>
            </w:r>
          </w:p>
        </w:tc>
        <w:tc>
          <w:tcPr>
            <w:tcW w:w="1514" w:type="dxa"/>
            <w:noWrap w:val="0"/>
            <w:vAlign w:val="center"/>
          </w:tcPr>
          <w:p w14:paraId="392F56F4">
            <w:pPr>
              <w:keepNext w:val="0"/>
              <w:keepLines w:val="0"/>
              <w:widowControl/>
              <w:suppressLineNumbers w:val="0"/>
              <w:spacing w:line="240" w:lineRule="auto"/>
              <w:jc w:val="center"/>
              <w:textAlignment w:val="center"/>
              <w:rPr>
                <w:rFonts w:hint="eastAsia" w:ascii="仿宋" w:hAnsi="仿宋" w:eastAsia="仿宋" w:cs="仿宋"/>
                <w:b w:val="0"/>
                <w:bCs w:val="0"/>
                <w:color w:val="auto"/>
                <w:sz w:val="20"/>
                <w:szCs w:val="20"/>
                <w:highlight w:val="none"/>
                <w:shd w:val="clear" w:color="auto" w:fill="auto"/>
                <w:vertAlign w:val="baseline"/>
                <w:lang w:val="en-US" w:eastAsia="zh-CN"/>
              </w:rPr>
            </w:pPr>
            <w:r>
              <w:rPr>
                <w:rFonts w:hint="eastAsia" w:ascii="仿宋" w:hAnsi="仿宋" w:eastAsia="仿宋" w:cs="仿宋"/>
                <w:i w:val="0"/>
                <w:iCs w:val="0"/>
                <w:color w:val="000000"/>
                <w:kern w:val="0"/>
                <w:sz w:val="20"/>
                <w:szCs w:val="20"/>
                <w:u w:val="none"/>
                <w:lang w:val="en-US" w:eastAsia="zh-CN" w:bidi="ar"/>
              </w:rPr>
              <w:t>C140806187</w:t>
            </w:r>
          </w:p>
        </w:tc>
        <w:tc>
          <w:tcPr>
            <w:tcW w:w="3525" w:type="dxa"/>
            <w:noWrap w:val="0"/>
            <w:vAlign w:val="center"/>
          </w:tcPr>
          <w:p w14:paraId="0A8BC636">
            <w:pPr>
              <w:keepNext w:val="0"/>
              <w:keepLines w:val="0"/>
              <w:widowControl/>
              <w:suppressLineNumbers w:val="0"/>
              <w:spacing w:line="240" w:lineRule="auto"/>
              <w:jc w:val="left"/>
              <w:textAlignment w:val="center"/>
              <w:rPr>
                <w:rFonts w:hint="eastAsia" w:ascii="仿宋" w:hAnsi="仿宋" w:eastAsia="仿宋" w:cs="仿宋"/>
                <w:b w:val="0"/>
                <w:bCs w:val="0"/>
                <w:color w:val="auto"/>
                <w:sz w:val="20"/>
                <w:szCs w:val="20"/>
                <w:highlight w:val="none"/>
                <w:shd w:val="clear" w:color="auto" w:fill="auto"/>
                <w:vertAlign w:val="baseline"/>
                <w:lang w:val="en-US" w:eastAsia="zh-CN"/>
              </w:rPr>
            </w:pPr>
            <w:r>
              <w:rPr>
                <w:rFonts w:hint="eastAsia" w:ascii="仿宋" w:hAnsi="仿宋" w:eastAsia="仿宋" w:cs="仿宋"/>
                <w:i w:val="0"/>
                <w:iCs w:val="0"/>
                <w:color w:val="000000"/>
                <w:kern w:val="0"/>
                <w:sz w:val="20"/>
                <w:szCs w:val="20"/>
                <w:u w:val="none"/>
                <w:lang w:val="en-US" w:eastAsia="zh-CN" w:bidi="ar"/>
              </w:rPr>
              <w:t>适用于躯干及四肢(关节及活动幅度较大部位除外)手术伤口的闭合处理,减少伤口张力，促进伤口愈合，抑制瘢痕增生，实现瘢痕最小化。</w:t>
            </w:r>
          </w:p>
        </w:tc>
        <w:tc>
          <w:tcPr>
            <w:tcW w:w="2100" w:type="dxa"/>
            <w:noWrap w:val="0"/>
            <w:vAlign w:val="center"/>
          </w:tcPr>
          <w:p w14:paraId="6A8120D3">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center"/>
              <w:rPr>
                <w:rFonts w:hint="eastAsia" w:ascii="仿宋" w:hAnsi="仿宋" w:eastAsia="仿宋" w:cs="仿宋"/>
                <w:b w:val="0"/>
                <w:bCs w:val="0"/>
                <w:color w:val="auto"/>
                <w:sz w:val="20"/>
                <w:szCs w:val="20"/>
                <w:highlight w:val="none"/>
                <w:shd w:val="clear" w:color="auto" w:fill="auto"/>
                <w:vertAlign w:val="baseline"/>
                <w:lang w:val="en-US" w:eastAsia="zh-CN"/>
              </w:rPr>
            </w:pPr>
            <w:r>
              <w:rPr>
                <w:rFonts w:hint="eastAsia" w:ascii="仿宋" w:hAnsi="仿宋" w:eastAsia="仿宋" w:cs="仿宋"/>
                <w:i w:val="0"/>
                <w:iCs w:val="0"/>
                <w:color w:val="000000"/>
                <w:kern w:val="0"/>
                <w:sz w:val="20"/>
                <w:szCs w:val="20"/>
                <w:u w:val="none"/>
                <w:lang w:val="en-US" w:eastAsia="zh-CN" w:bidi="ar"/>
              </w:rPr>
              <w:t>连体型、138mm*30mm</w:t>
            </w:r>
          </w:p>
        </w:tc>
      </w:tr>
    </w:tbl>
    <w:p w14:paraId="00D4238C">
      <w:pPr>
        <w:pStyle w:val="7"/>
        <w:jc w:val="left"/>
        <w:outlineLvl w:val="9"/>
        <w:rPr>
          <w:rFonts w:hint="eastAsia" w:ascii="仿宋" w:hAnsi="仿宋" w:eastAsia="仿宋" w:cs="仿宋"/>
          <w:b/>
          <w:bCs/>
          <w:sz w:val="22"/>
          <w:szCs w:val="22"/>
          <w:highlight w:val="none"/>
        </w:rPr>
      </w:pPr>
    </w:p>
    <w:p w14:paraId="254B4C8E">
      <w:pPr>
        <w:pStyle w:val="7"/>
        <w:jc w:val="left"/>
        <w:outlineLvl w:val="1"/>
        <w:rPr>
          <w:rFonts w:hint="eastAsia" w:ascii="仿宋" w:hAnsi="仿宋" w:eastAsia="仿宋" w:cs="仿宋"/>
          <w:b/>
          <w:sz w:val="28"/>
          <w:highlight w:val="none"/>
          <w:lang w:val="en-US" w:eastAsia="zh-CN"/>
        </w:rPr>
      </w:pPr>
      <w:r>
        <w:rPr>
          <w:rFonts w:hint="eastAsia" w:ascii="Times New Roman" w:hAnsi="Times New Roman" w:eastAsia="仿宋" w:cs="Times New Roman"/>
          <w:b/>
          <w:bCs/>
          <w:color w:val="auto"/>
          <w:sz w:val="28"/>
          <w:szCs w:val="28"/>
          <w:highlight w:val="none"/>
          <w:shd w:val="clear" w:color="auto" w:fill="auto"/>
          <w:lang w:val="en-US" w:eastAsia="zh-CN"/>
        </w:rPr>
        <w:t>★</w:t>
      </w:r>
      <w:r>
        <w:rPr>
          <w:rFonts w:hint="eastAsia" w:ascii="仿宋" w:hAnsi="仿宋" w:eastAsia="仿宋" w:cs="仿宋"/>
          <w:b/>
          <w:sz w:val="28"/>
          <w:szCs w:val="28"/>
          <w:highlight w:val="none"/>
        </w:rPr>
        <w:t>3.3.</w:t>
      </w:r>
      <w:r>
        <w:rPr>
          <w:rFonts w:hint="eastAsia" w:ascii="仿宋" w:hAnsi="仿宋" w:eastAsia="仿宋" w:cs="仿宋"/>
          <w:b/>
          <w:sz w:val="28"/>
          <w:szCs w:val="28"/>
          <w:highlight w:val="none"/>
          <w:lang w:val="en-US" w:eastAsia="zh-CN"/>
        </w:rPr>
        <w:t>项目</w:t>
      </w:r>
      <w:r>
        <w:rPr>
          <w:rFonts w:hint="eastAsia" w:ascii="仿宋" w:hAnsi="仿宋" w:eastAsia="仿宋" w:cs="仿宋"/>
          <w:b/>
          <w:sz w:val="28"/>
          <w:highlight w:val="none"/>
          <w:lang w:val="en-US" w:eastAsia="zh-CN"/>
        </w:rPr>
        <w:t>采购要求</w:t>
      </w:r>
    </w:p>
    <w:p w14:paraId="4824F5CA">
      <w:pPr>
        <w:keepNext w:val="0"/>
        <w:keepLines w:val="0"/>
        <w:pageBreakBefore w:val="0"/>
        <w:widowControl/>
        <w:numPr>
          <w:ilvl w:val="0"/>
          <w:numId w:val="0"/>
        </w:numPr>
        <w:kinsoku/>
        <w:wordWrap w:val="0"/>
        <w:overflowPunct/>
        <w:topLinePunct/>
        <w:autoSpaceDE/>
        <w:autoSpaceDN/>
        <w:bidi w:val="0"/>
        <w:adjustRightInd/>
        <w:snapToGrid/>
        <w:spacing w:line="240" w:lineRule="auto"/>
        <w:ind w:leftChars="0" w:firstLine="442" w:firstLineChars="200"/>
        <w:jc w:val="left"/>
        <w:textAlignment w:val="auto"/>
        <w:rPr>
          <w:rFonts w:hint="eastAsia" w:ascii="Times New Roman" w:hAnsi="Times New Roman" w:eastAsia="仿宋" w:cs="Times New Roman"/>
          <w:b/>
          <w:bCs/>
          <w:color w:val="auto"/>
          <w:sz w:val="22"/>
          <w:szCs w:val="22"/>
          <w:highlight w:val="none"/>
          <w:shd w:val="clear" w:color="auto" w:fill="auto"/>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挂网需求</w:t>
      </w:r>
    </w:p>
    <w:p w14:paraId="60066EFA">
      <w:pPr>
        <w:keepNext w:val="0"/>
        <w:keepLines w:val="0"/>
        <w:pageBreakBefore w:val="0"/>
        <w:widowControl/>
        <w:kinsoku/>
        <w:wordWrap w:val="0"/>
        <w:overflowPunct/>
        <w:topLinePunct/>
        <w:autoSpaceDE/>
        <w:autoSpaceDN/>
        <w:bidi w:val="0"/>
        <w:adjustRightInd/>
        <w:snapToGrid/>
        <w:spacing w:line="240" w:lineRule="auto"/>
        <w:ind w:leftChars="0"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本项目所有标的均须提供挂网产品。</w:t>
      </w:r>
    </w:p>
    <w:p w14:paraId="0EF23533">
      <w:pPr>
        <w:keepNext w:val="0"/>
        <w:keepLines w:val="0"/>
        <w:pageBreakBefore w:val="0"/>
        <w:widowControl/>
        <w:kinsoku/>
        <w:wordWrap w:val="0"/>
        <w:overflowPunct/>
        <w:topLinePunct/>
        <w:autoSpaceDE/>
        <w:autoSpaceDN/>
        <w:bidi w:val="0"/>
        <w:adjustRightInd/>
        <w:snapToGrid/>
        <w:spacing w:line="240" w:lineRule="auto"/>
        <w:ind w:leftChars="0" w:firstLine="440" w:firstLineChars="200"/>
        <w:jc w:val="left"/>
        <w:textAlignment w:val="auto"/>
        <w:rPr>
          <w:rFonts w:hint="default"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注：本项目中所指“挂网产品”，为“四川省药品和医用耗材招采管理系统”中已挂网产品（不含正在挂网和备案的产品）。</w:t>
      </w:r>
    </w:p>
    <w:p w14:paraId="0DFB3E45">
      <w:pPr>
        <w:keepNext w:val="0"/>
        <w:keepLines w:val="0"/>
        <w:pageBreakBefore w:val="0"/>
        <w:widowControl/>
        <w:numPr>
          <w:ilvl w:val="0"/>
          <w:numId w:val="0"/>
        </w:numPr>
        <w:kinsoku/>
        <w:wordWrap w:val="0"/>
        <w:overflowPunct/>
        <w:topLinePunct/>
        <w:autoSpaceDE/>
        <w:autoSpaceDN/>
        <w:bidi w:val="0"/>
        <w:adjustRightInd/>
        <w:snapToGrid/>
        <w:spacing w:line="240" w:lineRule="auto"/>
        <w:ind w:leftChars="0" w:firstLine="442" w:firstLineChars="200"/>
        <w:jc w:val="left"/>
        <w:textAlignment w:val="auto"/>
        <w:rPr>
          <w:rFonts w:hint="eastAsia" w:ascii="仿宋" w:hAnsi="仿宋" w:eastAsia="仿宋" w:cs="仿宋"/>
          <w:b/>
          <w:bCs/>
          <w:sz w:val="22"/>
          <w:szCs w:val="22"/>
          <w:lang w:eastAsia="zh-CN"/>
        </w:rPr>
      </w:pPr>
      <w:r>
        <w:rPr>
          <w:rFonts w:hint="eastAsia" w:ascii="仿宋" w:hAnsi="仿宋" w:eastAsia="仿宋" w:cs="仿宋"/>
          <w:b/>
          <w:bCs/>
          <w:sz w:val="22"/>
          <w:szCs w:val="22"/>
          <w:lang w:eastAsia="zh-CN"/>
        </w:rPr>
        <w:t>样品要求</w:t>
      </w:r>
    </w:p>
    <w:p w14:paraId="3B3B01C5">
      <w:pPr>
        <w:keepNext w:val="0"/>
        <w:keepLines w:val="0"/>
        <w:pageBreakBefore w:val="0"/>
        <w:widowControl/>
        <w:numPr>
          <w:ilvl w:val="0"/>
          <w:numId w:val="0"/>
        </w:numPr>
        <w:kinsoku/>
        <w:wordWrap w:val="0"/>
        <w:overflowPunct/>
        <w:topLinePunct/>
        <w:autoSpaceDE/>
        <w:autoSpaceDN/>
        <w:bidi w:val="0"/>
        <w:adjustRightInd/>
        <w:snapToGrid/>
        <w:spacing w:line="240" w:lineRule="auto"/>
        <w:ind w:leftChars="0" w:firstLine="440" w:firstLineChars="200"/>
        <w:jc w:val="left"/>
        <w:textAlignment w:val="auto"/>
        <w:rPr>
          <w:rFonts w:hint="default" w:ascii="仿宋" w:hAnsi="仿宋" w:eastAsia="仿宋" w:cs="仿宋"/>
          <w:b w:val="0"/>
          <w:bCs w:val="0"/>
          <w:sz w:val="22"/>
          <w:szCs w:val="22"/>
          <w:highlight w:val="none"/>
          <w:lang w:val="en-US" w:eastAsia="zh-CN"/>
        </w:rPr>
      </w:pPr>
      <w:r>
        <w:rPr>
          <w:rFonts w:hint="eastAsia" w:ascii="仿宋" w:hAnsi="仿宋" w:eastAsia="仿宋" w:cs="仿宋"/>
          <w:b w:val="0"/>
          <w:bCs w:val="0"/>
          <w:sz w:val="22"/>
          <w:szCs w:val="22"/>
          <w:highlight w:val="none"/>
          <w:lang w:val="en-US" w:eastAsia="zh-CN"/>
        </w:rPr>
        <w:t>1.必须提供样品，以供评审专家现场评审。</w:t>
      </w:r>
    </w:p>
    <w:p w14:paraId="44F6EAA7">
      <w:pPr>
        <w:keepNext w:val="0"/>
        <w:keepLines w:val="0"/>
        <w:pageBreakBefore w:val="0"/>
        <w:widowControl/>
        <w:kinsoku/>
        <w:wordWrap w:val="0"/>
        <w:overflowPunct/>
        <w:topLinePunct/>
        <w:autoSpaceDE/>
        <w:autoSpaceDN/>
        <w:bidi w:val="0"/>
        <w:adjustRightInd/>
        <w:snapToGrid/>
        <w:spacing w:line="240" w:lineRule="auto"/>
        <w:ind w:leftChars="0" w:firstLine="440" w:firstLineChars="200"/>
        <w:jc w:val="left"/>
        <w:textAlignment w:val="auto"/>
        <w:rPr>
          <w:rFonts w:hint="eastAsia" w:ascii="仿宋" w:hAnsi="仿宋" w:eastAsia="仿宋" w:cs="仿宋"/>
          <w:b w:val="0"/>
          <w:bCs w:val="0"/>
          <w:color w:val="000000"/>
          <w:sz w:val="22"/>
          <w:szCs w:val="22"/>
          <w:highlight w:val="none"/>
          <w:lang w:val="en-US" w:eastAsia="zh-CN"/>
        </w:rPr>
      </w:pPr>
      <w:r>
        <w:rPr>
          <w:rFonts w:hint="eastAsia" w:ascii="仿宋" w:hAnsi="仿宋" w:eastAsia="仿宋" w:cs="仿宋"/>
          <w:b w:val="0"/>
          <w:bCs w:val="0"/>
          <w:color w:val="000000"/>
          <w:sz w:val="22"/>
          <w:szCs w:val="22"/>
          <w:highlight w:val="none"/>
          <w:lang w:val="en-US" w:eastAsia="zh-CN"/>
        </w:rPr>
        <w:t>2.提交的样品不符合实际需求或存在原理错误则视为无效响应。</w:t>
      </w:r>
    </w:p>
    <w:p w14:paraId="0A130997">
      <w:pPr>
        <w:keepNext w:val="0"/>
        <w:keepLines w:val="0"/>
        <w:pageBreakBefore w:val="0"/>
        <w:widowControl/>
        <w:kinsoku/>
        <w:wordWrap w:val="0"/>
        <w:overflowPunct/>
        <w:topLinePunct/>
        <w:autoSpaceDE/>
        <w:autoSpaceDN/>
        <w:bidi w:val="0"/>
        <w:adjustRightInd/>
        <w:snapToGrid/>
        <w:spacing w:line="240" w:lineRule="auto"/>
        <w:ind w:leftChars="0" w:firstLine="440" w:firstLineChars="200"/>
        <w:jc w:val="left"/>
        <w:textAlignment w:val="auto"/>
        <w:rPr>
          <w:rFonts w:hint="eastAsia" w:ascii="仿宋" w:hAnsi="仿宋" w:eastAsia="仿宋" w:cs="仿宋"/>
          <w:b w:val="0"/>
          <w:bCs w:val="0"/>
          <w:color w:val="000000"/>
          <w:sz w:val="22"/>
          <w:szCs w:val="22"/>
          <w:highlight w:val="none"/>
          <w:lang w:val="en-US" w:eastAsia="zh-CN"/>
        </w:rPr>
      </w:pPr>
      <w:r>
        <w:rPr>
          <w:rFonts w:hint="eastAsia" w:ascii="仿宋" w:hAnsi="仿宋" w:eastAsia="仿宋" w:cs="仿宋"/>
          <w:b w:val="0"/>
          <w:bCs w:val="0"/>
          <w:color w:val="000000"/>
          <w:sz w:val="22"/>
          <w:szCs w:val="22"/>
          <w:highlight w:val="none"/>
          <w:lang w:val="en-US" w:eastAsia="zh-CN"/>
        </w:rPr>
        <w:t>3.本项目投标人提供的样品，应与该投标人响应文件保持一致（具体参考《医疗器械说明书和标签管理规定》）。</w:t>
      </w:r>
    </w:p>
    <w:p w14:paraId="5809B405">
      <w:pPr>
        <w:keepNext w:val="0"/>
        <w:keepLines w:val="0"/>
        <w:pageBreakBefore w:val="0"/>
        <w:widowControl/>
        <w:kinsoku/>
        <w:wordWrap w:val="0"/>
        <w:overflowPunct/>
        <w:topLinePunct/>
        <w:autoSpaceDE/>
        <w:autoSpaceDN/>
        <w:bidi w:val="0"/>
        <w:adjustRightInd/>
        <w:snapToGrid/>
        <w:spacing w:line="240" w:lineRule="auto"/>
        <w:ind w:leftChars="0" w:firstLine="442" w:firstLineChars="200"/>
        <w:jc w:val="left"/>
        <w:textAlignment w:val="auto"/>
        <w:rPr>
          <w:rFonts w:hint="eastAsia" w:ascii="仿宋" w:hAnsi="仿宋" w:eastAsia="仿宋" w:cs="仿宋"/>
          <w:b/>
          <w:bCs/>
          <w:sz w:val="22"/>
          <w:szCs w:val="22"/>
          <w:lang w:val="en-US" w:eastAsia="zh-CN"/>
        </w:rPr>
      </w:pPr>
      <w:r>
        <w:rPr>
          <w:rFonts w:hint="eastAsia" w:ascii="仿宋" w:hAnsi="仿宋" w:eastAsia="仿宋" w:cs="仿宋"/>
          <w:b/>
          <w:bCs/>
          <w:color w:val="000000"/>
          <w:sz w:val="22"/>
          <w:szCs w:val="22"/>
          <w:lang w:val="en-US" w:eastAsia="zh-CN"/>
        </w:rPr>
        <w:t>商务要求</w:t>
      </w:r>
    </w:p>
    <w:p w14:paraId="4E44D3CF">
      <w:pPr>
        <w:keepNext w:val="0"/>
        <w:keepLines w:val="0"/>
        <w:pageBreakBefore w:val="0"/>
        <w:widowControl/>
        <w:kinsoku/>
        <w:wordWrap w:val="0"/>
        <w:overflowPunct/>
        <w:topLinePunct/>
        <w:autoSpaceDE/>
        <w:autoSpaceDN/>
        <w:bidi w:val="0"/>
        <w:adjustRightInd/>
        <w:snapToGrid/>
        <w:spacing w:line="240" w:lineRule="auto"/>
        <w:ind w:leftChars="0" w:firstLine="442" w:firstLineChars="200"/>
        <w:jc w:val="lef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1.交货期及地点</w:t>
      </w:r>
    </w:p>
    <w:p w14:paraId="5B10BB5A">
      <w:pPr>
        <w:keepNext w:val="0"/>
        <w:keepLines w:val="0"/>
        <w:pageBreakBefore w:val="0"/>
        <w:widowControl/>
        <w:kinsoku/>
        <w:wordWrap w:val="0"/>
        <w:overflowPunct/>
        <w:topLinePunct/>
        <w:autoSpaceDE/>
        <w:autoSpaceDN/>
        <w:bidi w:val="0"/>
        <w:adjustRightInd/>
        <w:snapToGrid/>
        <w:spacing w:line="240" w:lineRule="auto"/>
        <w:ind w:leftChars="0" w:firstLine="440" w:firstLineChars="200"/>
        <w:jc w:val="left"/>
        <w:textAlignment w:val="auto"/>
        <w:rPr>
          <w:rFonts w:hint="default"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（1）交货期：每次配送时间必须严格按照采购人配送通知执行，中标人应于收到通知后2小时内响应。急救耗材的配送时间不应超过4小时，一般耗材原则上的配送时间不应超过2个工作日。</w:t>
      </w:r>
    </w:p>
    <w:p w14:paraId="2359056B">
      <w:pPr>
        <w:keepNext w:val="0"/>
        <w:keepLines w:val="0"/>
        <w:pageBreakBefore w:val="0"/>
        <w:widowControl/>
        <w:kinsoku/>
        <w:wordWrap w:val="0"/>
        <w:overflowPunct/>
        <w:topLinePunct/>
        <w:autoSpaceDE/>
        <w:autoSpaceDN/>
        <w:bidi w:val="0"/>
        <w:adjustRightInd/>
        <w:snapToGrid/>
        <w:spacing w:line="240" w:lineRule="auto"/>
        <w:ind w:leftChars="0" w:firstLine="440" w:firstLineChars="200"/>
        <w:jc w:val="left"/>
        <w:textAlignment w:val="auto"/>
        <w:rPr>
          <w:rFonts w:hint="eastAsia"/>
          <w:sz w:val="20"/>
          <w:szCs w:val="22"/>
          <w:lang w:val="en-US" w:eastAsia="zh-CN"/>
        </w:rPr>
      </w:pPr>
      <w:r>
        <w:rPr>
          <w:rFonts w:hint="eastAsia" w:ascii="仿宋" w:hAnsi="仿宋" w:eastAsia="仿宋" w:cs="仿宋"/>
          <w:color w:val="000000"/>
          <w:sz w:val="22"/>
          <w:szCs w:val="22"/>
          <w:lang w:val="en-US" w:eastAsia="zh-CN"/>
        </w:rPr>
        <w:t>（2）交货地点：内江市第一人民医院指定地点。</w:t>
      </w:r>
    </w:p>
    <w:p w14:paraId="2BD2F154">
      <w:pPr>
        <w:keepNext w:val="0"/>
        <w:keepLines w:val="0"/>
        <w:pageBreakBefore w:val="0"/>
        <w:widowControl/>
        <w:kinsoku/>
        <w:wordWrap w:val="0"/>
        <w:overflowPunct/>
        <w:topLinePunct/>
        <w:autoSpaceDE/>
        <w:autoSpaceDN/>
        <w:bidi w:val="0"/>
        <w:adjustRightInd/>
        <w:snapToGrid/>
        <w:spacing w:line="240" w:lineRule="auto"/>
        <w:ind w:leftChars="0" w:firstLine="442" w:firstLineChars="200"/>
        <w:jc w:val="lef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2.付款方法和条件</w:t>
      </w:r>
    </w:p>
    <w:p w14:paraId="6786B2D8">
      <w:pPr>
        <w:keepNext w:val="0"/>
        <w:keepLines w:val="0"/>
        <w:pageBreakBefore w:val="0"/>
        <w:widowControl/>
        <w:kinsoku/>
        <w:wordWrap w:val="0"/>
        <w:overflowPunct/>
        <w:topLinePunct/>
        <w:autoSpaceDE/>
        <w:autoSpaceDN/>
        <w:bidi w:val="0"/>
        <w:adjustRightInd/>
        <w:snapToGrid/>
        <w:spacing w:line="240" w:lineRule="auto"/>
        <w:ind w:leftChars="0" w:firstLine="440" w:firstLineChars="200"/>
        <w:jc w:val="left"/>
        <w:textAlignment w:val="auto"/>
        <w:rPr>
          <w:rFonts w:hint="eastAsia" w:ascii="仿宋" w:hAnsi="仿宋" w:eastAsia="仿宋" w:cs="仿宋"/>
          <w:b w:val="0"/>
          <w:bCs w:val="0"/>
          <w:color w:val="000000"/>
          <w:kern w:val="2"/>
          <w:sz w:val="22"/>
          <w:szCs w:val="22"/>
          <w:lang w:val="en-US" w:eastAsia="zh-CN" w:bidi="ar-SA"/>
        </w:rPr>
      </w:pPr>
      <w:r>
        <w:rPr>
          <w:rFonts w:hint="eastAsia" w:ascii="仿宋" w:hAnsi="仿宋" w:eastAsia="仿宋" w:cs="仿宋"/>
          <w:b w:val="0"/>
          <w:bCs w:val="0"/>
          <w:color w:val="000000"/>
          <w:kern w:val="2"/>
          <w:sz w:val="22"/>
          <w:szCs w:val="22"/>
          <w:lang w:val="en-US" w:eastAsia="zh-CN" w:bidi="ar-SA"/>
        </w:rPr>
        <w:t>（1）结算方式：货款按实结算且由双方协商决定。</w:t>
      </w:r>
    </w:p>
    <w:p w14:paraId="436FAEA1">
      <w:pPr>
        <w:keepNext w:val="0"/>
        <w:keepLines w:val="0"/>
        <w:pageBreakBefore w:val="0"/>
        <w:widowControl/>
        <w:kinsoku/>
        <w:wordWrap w:val="0"/>
        <w:overflowPunct/>
        <w:topLinePunct/>
        <w:autoSpaceDE/>
        <w:autoSpaceDN/>
        <w:bidi w:val="0"/>
        <w:adjustRightInd/>
        <w:snapToGrid/>
        <w:spacing w:line="240" w:lineRule="auto"/>
        <w:ind w:leftChars="0" w:firstLine="440" w:firstLineChars="200"/>
        <w:jc w:val="left"/>
        <w:textAlignment w:val="auto"/>
        <w:rPr>
          <w:rFonts w:hint="eastAsia" w:ascii="仿宋" w:hAnsi="仿宋" w:eastAsia="仿宋" w:cs="仿宋"/>
          <w:b w:val="0"/>
          <w:bCs w:val="0"/>
          <w:color w:val="000000"/>
          <w:kern w:val="2"/>
          <w:sz w:val="22"/>
          <w:szCs w:val="22"/>
          <w:lang w:val="en-US" w:eastAsia="zh-CN" w:bidi="ar-SA"/>
        </w:rPr>
      </w:pPr>
      <w:r>
        <w:rPr>
          <w:rFonts w:hint="eastAsia" w:ascii="仿宋" w:hAnsi="仿宋" w:eastAsia="仿宋" w:cs="仿宋"/>
          <w:b w:val="0"/>
          <w:bCs w:val="0"/>
          <w:color w:val="000000"/>
          <w:kern w:val="2"/>
          <w:sz w:val="22"/>
          <w:szCs w:val="22"/>
          <w:lang w:val="en-US" w:eastAsia="zh-CN" w:bidi="ar-SA"/>
        </w:rPr>
        <w:t>（2）成交价格包含成本、运输、包装、培训、配送、伴随服务、税费及其他附加费用。</w:t>
      </w:r>
    </w:p>
    <w:p w14:paraId="4B87D492">
      <w:pPr>
        <w:keepNext w:val="0"/>
        <w:keepLines w:val="0"/>
        <w:pageBreakBefore w:val="0"/>
        <w:widowControl/>
        <w:kinsoku/>
        <w:wordWrap w:val="0"/>
        <w:overflowPunct/>
        <w:topLinePunct/>
        <w:autoSpaceDE/>
        <w:autoSpaceDN/>
        <w:bidi w:val="0"/>
        <w:adjustRightInd/>
        <w:snapToGrid/>
        <w:spacing w:line="240" w:lineRule="auto"/>
        <w:ind w:leftChars="0" w:firstLine="442" w:firstLineChars="200"/>
        <w:jc w:val="lef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3.医用耗材质量保证</w:t>
      </w:r>
    </w:p>
    <w:p w14:paraId="425436ED">
      <w:pPr>
        <w:keepNext w:val="0"/>
        <w:keepLines w:val="0"/>
        <w:pageBreakBefore w:val="0"/>
        <w:widowControl/>
        <w:kinsoku/>
        <w:wordWrap w:val="0"/>
        <w:overflowPunct/>
        <w:topLinePunct/>
        <w:autoSpaceDE/>
        <w:autoSpaceDN/>
        <w:bidi w:val="0"/>
        <w:adjustRightInd/>
        <w:snapToGrid/>
        <w:spacing w:line="240" w:lineRule="auto"/>
        <w:ind w:leftChars="0"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（1）中标人须提供原厂生产的未曾使用过的、全新的合格的货品（含配套配件等），表面无划伤、无破损痕迹，且权属清楚，不得侵害他人的合法权利。</w:t>
      </w:r>
    </w:p>
    <w:p w14:paraId="4FDDA470">
      <w:pPr>
        <w:keepNext w:val="0"/>
        <w:keepLines w:val="0"/>
        <w:pageBreakBefore w:val="0"/>
        <w:widowControl/>
        <w:kinsoku/>
        <w:wordWrap w:val="0"/>
        <w:overflowPunct/>
        <w:topLinePunct/>
        <w:autoSpaceDE/>
        <w:autoSpaceDN/>
        <w:bidi w:val="0"/>
        <w:adjustRightInd/>
        <w:snapToGrid/>
        <w:spacing w:line="240" w:lineRule="auto"/>
        <w:ind w:leftChars="0"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2）中标人所提供货品须符合或优于国家（行业）标准、本项目招标文件要求及投标文件响应内容。当投标文件响应内容与招标文件要求不一致时，以投标文件响应内容为准。当投标文件响应内容与国家标准、行业标准（若有）不一致时，以较高标准为准。</w:t>
      </w:r>
    </w:p>
    <w:p w14:paraId="133B52E8">
      <w:pPr>
        <w:keepNext w:val="0"/>
        <w:keepLines w:val="0"/>
        <w:pageBreakBefore w:val="0"/>
        <w:widowControl/>
        <w:kinsoku/>
        <w:wordWrap w:val="0"/>
        <w:overflowPunct/>
        <w:topLinePunct/>
        <w:autoSpaceDE/>
        <w:autoSpaceDN/>
        <w:bidi w:val="0"/>
        <w:adjustRightInd/>
        <w:snapToGrid/>
        <w:spacing w:line="240" w:lineRule="auto"/>
        <w:ind w:leftChars="0"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（3）中标人提供货品的设计技术专利、外形专利等均应符合我国有关法律法规及行业标准，凡因以上问题与第三方发生的任何纠纷，由中标人承担全部责任，</w:t>
      </w:r>
      <w:r>
        <w:rPr>
          <w:rFonts w:hint="eastAsia" w:ascii="仿宋" w:hAnsi="仿宋" w:eastAsia="仿宋" w:cs="仿宋"/>
          <w:color w:val="000000"/>
          <w:sz w:val="22"/>
          <w:szCs w:val="22"/>
          <w:lang w:val="en-US" w:eastAsia="zh-Hans"/>
        </w:rPr>
        <w:t>中标人还应</w:t>
      </w:r>
      <w:r>
        <w:rPr>
          <w:rFonts w:hint="eastAsia" w:ascii="仿宋" w:hAnsi="仿宋" w:eastAsia="仿宋" w:cs="仿宋"/>
          <w:color w:val="000000"/>
          <w:sz w:val="22"/>
          <w:szCs w:val="22"/>
        </w:rPr>
        <w:t>负责赔偿</w:t>
      </w:r>
      <w:r>
        <w:rPr>
          <w:rFonts w:hint="eastAsia" w:ascii="仿宋" w:hAnsi="仿宋" w:eastAsia="仿宋" w:cs="仿宋"/>
          <w:color w:val="000000"/>
          <w:sz w:val="22"/>
          <w:szCs w:val="22"/>
          <w:lang w:val="en-US" w:eastAsia="zh-CN"/>
        </w:rPr>
        <w:t>采购人</w:t>
      </w:r>
      <w:r>
        <w:rPr>
          <w:rFonts w:hint="eastAsia" w:ascii="仿宋" w:hAnsi="仿宋" w:eastAsia="仿宋" w:cs="仿宋"/>
          <w:color w:val="000000"/>
          <w:sz w:val="22"/>
          <w:szCs w:val="22"/>
        </w:rPr>
        <w:t>由此而遭受的全部损失。</w:t>
      </w:r>
    </w:p>
    <w:p w14:paraId="18D0C600">
      <w:pPr>
        <w:keepNext w:val="0"/>
        <w:keepLines w:val="0"/>
        <w:pageBreakBefore w:val="0"/>
        <w:widowControl/>
        <w:kinsoku/>
        <w:wordWrap w:val="0"/>
        <w:overflowPunct/>
        <w:topLinePunct/>
        <w:autoSpaceDE/>
        <w:autoSpaceDN/>
        <w:bidi w:val="0"/>
        <w:adjustRightInd/>
        <w:snapToGrid/>
        <w:spacing w:line="240" w:lineRule="auto"/>
        <w:ind w:leftChars="0"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（4）中标人保证其提供货品的安全可靠性。在正常使用下不应对使用者造成任何人身伤害，如因产品质量或标示不明确而对使用者造成损失的，由中标人承担相应责任。</w:t>
      </w:r>
    </w:p>
    <w:p w14:paraId="02B6E256">
      <w:pPr>
        <w:keepNext w:val="0"/>
        <w:keepLines w:val="0"/>
        <w:pageBreakBefore w:val="0"/>
        <w:widowControl/>
        <w:kinsoku/>
        <w:wordWrap w:val="0"/>
        <w:overflowPunct/>
        <w:topLinePunct/>
        <w:autoSpaceDE/>
        <w:autoSpaceDN/>
        <w:bidi w:val="0"/>
        <w:adjustRightInd/>
        <w:snapToGrid/>
        <w:spacing w:line="240" w:lineRule="auto"/>
        <w:ind w:leftChars="0"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5）中标人应保证所供耗材原产地真实，医用耗材是全新的、未使用过的，质量符合国家标准（在无国家标准时，符合行业标准），不得以假充真，以次充好，确保临床医疗安全。如出现质量问题，中标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160197BC">
      <w:pPr>
        <w:keepNext w:val="0"/>
        <w:keepLines w:val="0"/>
        <w:pageBreakBefore w:val="0"/>
        <w:widowControl/>
        <w:kinsoku/>
        <w:wordWrap w:val="0"/>
        <w:overflowPunct/>
        <w:topLinePunct/>
        <w:autoSpaceDE/>
        <w:autoSpaceDN/>
        <w:bidi w:val="0"/>
        <w:adjustRightInd/>
        <w:snapToGrid/>
        <w:spacing w:line="240" w:lineRule="auto"/>
        <w:ind w:leftChars="0"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（6）中标人保证所供耗材有效期不低于1年，自通过最终验收之日起，确保采购人在使用耗材的过程中安全、有效。</w:t>
      </w:r>
    </w:p>
    <w:p w14:paraId="3D8C37F4">
      <w:pPr>
        <w:keepNext w:val="0"/>
        <w:keepLines w:val="0"/>
        <w:pageBreakBefore w:val="0"/>
        <w:widowControl/>
        <w:kinsoku/>
        <w:wordWrap w:val="0"/>
        <w:overflowPunct/>
        <w:topLinePunct/>
        <w:autoSpaceDE/>
        <w:autoSpaceDN/>
        <w:bidi w:val="0"/>
        <w:adjustRightInd/>
        <w:snapToGrid/>
        <w:spacing w:line="240" w:lineRule="auto"/>
        <w:ind w:leftChars="0" w:firstLine="442" w:firstLineChars="200"/>
        <w:jc w:val="lef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4.验收</w:t>
      </w:r>
    </w:p>
    <w:p w14:paraId="749B7044">
      <w:pPr>
        <w:keepNext w:val="0"/>
        <w:keepLines w:val="0"/>
        <w:pageBreakBefore w:val="0"/>
        <w:widowControl/>
        <w:kinsoku/>
        <w:wordWrap w:val="0"/>
        <w:overflowPunct/>
        <w:topLinePunct/>
        <w:autoSpaceDE/>
        <w:autoSpaceDN/>
        <w:bidi w:val="0"/>
        <w:adjustRightInd/>
        <w:snapToGrid/>
        <w:spacing w:line="240" w:lineRule="auto"/>
        <w:ind w:leftChars="0"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按照《财政部关于进一步加强政府采购需求和履约验收管理的指导意见》（财库〔2016〕205号）的要求以及采购人招标文件的质量要求和技术指标、中标人的投标文件及承诺（若有）、国家（行业）标准、采购合同约定标准进行验收；</w:t>
      </w:r>
    </w:p>
    <w:p w14:paraId="11FF5544">
      <w:pPr>
        <w:keepNext w:val="0"/>
        <w:keepLines w:val="0"/>
        <w:pageBreakBefore w:val="0"/>
        <w:widowControl/>
        <w:kinsoku/>
        <w:wordWrap w:val="0"/>
        <w:overflowPunct/>
        <w:topLinePunct/>
        <w:autoSpaceDE/>
        <w:autoSpaceDN/>
        <w:bidi w:val="0"/>
        <w:adjustRightInd/>
        <w:snapToGrid/>
        <w:spacing w:line="240" w:lineRule="auto"/>
        <w:ind w:leftChars="0"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2）验收时如发现所交付的货物有短装、次品、损坏或其他不符合验收标准的，采购人应做出详尽的现场记录，此现场记录或备忘录可用作补充、缺失和更换损坏部件的有效证据，由此产生的时间延误与有关费用由中标人承担，验收期限相应顺延；</w:t>
      </w:r>
    </w:p>
    <w:p w14:paraId="2212C7F2">
      <w:pPr>
        <w:keepNext w:val="0"/>
        <w:keepLines w:val="0"/>
        <w:pageBreakBefore w:val="0"/>
        <w:widowControl/>
        <w:kinsoku/>
        <w:wordWrap w:val="0"/>
        <w:overflowPunct/>
        <w:topLinePunct/>
        <w:autoSpaceDE/>
        <w:autoSpaceDN/>
        <w:bidi w:val="0"/>
        <w:adjustRightInd/>
        <w:snapToGrid/>
        <w:spacing w:line="240" w:lineRule="auto"/>
        <w:ind w:leftChars="0"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3）若所提供货物不符合验收标准，中标人经过2次维修或2次调换后仍不能达到验收质量标准，则视为验收不合格，采购人有权全部（或部分）退货或解除合同。接到采购人退货通知，中标人除应及时运走采购人退还的货物外（若涉及费用或损失均由中标人自行承担），还应向采购人承担相应的违约责任。</w:t>
      </w:r>
    </w:p>
    <w:p w14:paraId="39BBFA70">
      <w:pPr>
        <w:keepNext w:val="0"/>
        <w:keepLines w:val="0"/>
        <w:pageBreakBefore w:val="0"/>
        <w:widowControl/>
        <w:kinsoku/>
        <w:wordWrap w:val="0"/>
        <w:overflowPunct/>
        <w:topLinePunct/>
        <w:autoSpaceDE/>
        <w:autoSpaceDN/>
        <w:bidi w:val="0"/>
        <w:adjustRightInd/>
        <w:snapToGrid/>
        <w:spacing w:line="240" w:lineRule="auto"/>
        <w:ind w:leftChars="0" w:firstLine="440" w:firstLineChars="200"/>
        <w:jc w:val="left"/>
        <w:textAlignment w:val="auto"/>
        <w:rPr>
          <w:rFonts w:hint="default"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（4）其他未尽事宜严格按照《财政部关于进一步加强政府采购需求和履约验收管理的指导意见》（财库〔2016〕205号）的要求进行。</w:t>
      </w:r>
    </w:p>
    <w:p w14:paraId="1C8549A8">
      <w:pPr>
        <w:keepNext w:val="0"/>
        <w:keepLines w:val="0"/>
        <w:pageBreakBefore w:val="0"/>
        <w:widowControl/>
        <w:kinsoku/>
        <w:wordWrap w:val="0"/>
        <w:overflowPunct/>
        <w:topLinePunct/>
        <w:autoSpaceDE/>
        <w:autoSpaceDN/>
        <w:bidi w:val="0"/>
        <w:adjustRightInd/>
        <w:snapToGrid/>
        <w:spacing w:line="240" w:lineRule="auto"/>
        <w:ind w:leftChars="0" w:firstLine="442" w:firstLineChars="200"/>
        <w:jc w:val="lef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5.售后服务</w:t>
      </w:r>
    </w:p>
    <w:p w14:paraId="2605A06D">
      <w:pPr>
        <w:keepNext w:val="0"/>
        <w:keepLines w:val="0"/>
        <w:pageBreakBefore w:val="0"/>
        <w:widowControl/>
        <w:kinsoku/>
        <w:wordWrap w:val="0"/>
        <w:overflowPunct/>
        <w:topLinePunct/>
        <w:autoSpaceDE/>
        <w:autoSpaceDN/>
        <w:bidi w:val="0"/>
        <w:adjustRightInd/>
        <w:snapToGrid/>
        <w:spacing w:line="240" w:lineRule="auto"/>
        <w:ind w:leftChars="0"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要求中标人必须严格按照招标文件要求和投标文件中的承诺提供配送服务。如果配送的医用耗材规格、包装等信息与中标产品的规格、包装等信息不一致并不同意更换的，或配送的医用耗材和中标产品不一致的，采购人有权终止合同。</w:t>
      </w:r>
    </w:p>
    <w:p w14:paraId="0BB21A11">
      <w:pPr>
        <w:keepNext w:val="0"/>
        <w:keepLines w:val="0"/>
        <w:pageBreakBefore w:val="0"/>
        <w:widowControl/>
        <w:kinsoku/>
        <w:wordWrap w:val="0"/>
        <w:overflowPunct/>
        <w:topLinePunct/>
        <w:autoSpaceDE/>
        <w:autoSpaceDN/>
        <w:bidi w:val="0"/>
        <w:adjustRightInd/>
        <w:snapToGrid/>
        <w:spacing w:line="240" w:lineRule="auto"/>
        <w:ind w:leftChars="0"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（2）要求中标人指派专人负责与采购人联系售后服务事宜；在投标文件中列明售后联系人及联系电话。</w:t>
      </w:r>
    </w:p>
    <w:p w14:paraId="7711BD09">
      <w:pPr>
        <w:keepNext w:val="0"/>
        <w:keepLines w:val="0"/>
        <w:pageBreakBefore w:val="0"/>
        <w:widowControl/>
        <w:kinsoku/>
        <w:wordWrap w:val="0"/>
        <w:overflowPunct/>
        <w:topLinePunct/>
        <w:autoSpaceDE/>
        <w:autoSpaceDN/>
        <w:bidi w:val="0"/>
        <w:adjustRightInd/>
        <w:snapToGrid/>
        <w:spacing w:line="240" w:lineRule="auto"/>
        <w:ind w:leftChars="0"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3）要求中标人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43CDE4F1">
      <w:pPr>
        <w:keepNext w:val="0"/>
        <w:keepLines w:val="0"/>
        <w:pageBreakBefore w:val="0"/>
        <w:widowControl/>
        <w:kinsoku/>
        <w:wordWrap w:val="0"/>
        <w:overflowPunct/>
        <w:topLinePunct/>
        <w:autoSpaceDE/>
        <w:autoSpaceDN/>
        <w:bidi w:val="0"/>
        <w:adjustRightInd/>
        <w:snapToGrid/>
        <w:spacing w:line="240" w:lineRule="auto"/>
        <w:ind w:leftChars="0"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（4）耗材临近失效期，采购人提前三个月向中标人提出更换，中标人须在耗材失效前一个月更换完毕，不得以任何理由进行推诿。</w:t>
      </w:r>
    </w:p>
    <w:p w14:paraId="0A3F77CF">
      <w:pPr>
        <w:keepNext w:val="0"/>
        <w:keepLines w:val="0"/>
        <w:pageBreakBefore w:val="0"/>
        <w:widowControl/>
        <w:kinsoku/>
        <w:wordWrap w:val="0"/>
        <w:overflowPunct/>
        <w:topLinePunct/>
        <w:autoSpaceDE/>
        <w:autoSpaceDN/>
        <w:bidi w:val="0"/>
        <w:adjustRightInd/>
        <w:snapToGrid/>
        <w:spacing w:line="240" w:lineRule="auto"/>
        <w:ind w:leftChars="0"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（5）中标人必须随货提供其具备医疗器械经营企业的有关合法有效的手续（包括但不限于）：</w:t>
      </w:r>
    </w:p>
    <w:p w14:paraId="269DFD47">
      <w:pPr>
        <w:keepNext w:val="0"/>
        <w:keepLines w:val="0"/>
        <w:pageBreakBefore w:val="0"/>
        <w:widowControl/>
        <w:kinsoku/>
        <w:wordWrap w:val="0"/>
        <w:overflowPunct/>
        <w:topLinePunct/>
        <w:autoSpaceDE/>
        <w:autoSpaceDN/>
        <w:bidi w:val="0"/>
        <w:adjustRightInd/>
        <w:snapToGrid/>
        <w:spacing w:line="240" w:lineRule="auto"/>
        <w:ind w:leftChars="0"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1).产品所涉及逐级授权经销商的医疗器械生产（经营）许可证或生产（经营）企业备案表；</w:t>
      </w:r>
    </w:p>
    <w:p w14:paraId="7AFC6AFB">
      <w:pPr>
        <w:keepNext w:val="0"/>
        <w:keepLines w:val="0"/>
        <w:pageBreakBefore w:val="0"/>
        <w:widowControl/>
        <w:kinsoku/>
        <w:wordWrap w:val="0"/>
        <w:overflowPunct/>
        <w:topLinePunct/>
        <w:autoSpaceDE/>
        <w:autoSpaceDN/>
        <w:bidi w:val="0"/>
        <w:adjustRightInd/>
        <w:snapToGrid/>
        <w:spacing w:line="240" w:lineRule="auto"/>
        <w:ind w:leftChars="0"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2).医疗器械产品注册证或备案凭证；</w:t>
      </w:r>
    </w:p>
    <w:p w14:paraId="5BF74065">
      <w:pPr>
        <w:keepNext w:val="0"/>
        <w:keepLines w:val="0"/>
        <w:pageBreakBefore w:val="0"/>
        <w:widowControl/>
        <w:kinsoku/>
        <w:wordWrap w:val="0"/>
        <w:overflowPunct/>
        <w:topLinePunct/>
        <w:autoSpaceDE/>
        <w:autoSpaceDN/>
        <w:bidi w:val="0"/>
        <w:adjustRightInd/>
        <w:snapToGrid/>
        <w:spacing w:line="240" w:lineRule="auto"/>
        <w:ind w:leftChars="0"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3).医疗器械生产企业许可证；</w:t>
      </w:r>
    </w:p>
    <w:p w14:paraId="369893F5">
      <w:pPr>
        <w:keepNext w:val="0"/>
        <w:keepLines w:val="0"/>
        <w:pageBreakBefore w:val="0"/>
        <w:widowControl/>
        <w:kinsoku/>
        <w:wordWrap w:val="0"/>
        <w:overflowPunct/>
        <w:topLinePunct/>
        <w:autoSpaceDE/>
        <w:autoSpaceDN/>
        <w:bidi w:val="0"/>
        <w:adjustRightInd/>
        <w:snapToGrid/>
        <w:spacing w:line="240" w:lineRule="auto"/>
        <w:ind w:leftChars="0"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4).经销商获得的委托授权书（逐级）；</w:t>
      </w:r>
    </w:p>
    <w:p w14:paraId="49B62640">
      <w:pPr>
        <w:keepNext w:val="0"/>
        <w:keepLines w:val="0"/>
        <w:pageBreakBefore w:val="0"/>
        <w:widowControl/>
        <w:kinsoku/>
        <w:wordWrap w:val="0"/>
        <w:overflowPunct/>
        <w:topLinePunct/>
        <w:autoSpaceDE/>
        <w:autoSpaceDN/>
        <w:bidi w:val="0"/>
        <w:adjustRightInd/>
        <w:snapToGrid/>
        <w:spacing w:line="240" w:lineRule="auto"/>
        <w:ind w:leftChars="0"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5).产品所涉及逐级授权经销商的企业法人营业执照。</w:t>
      </w:r>
    </w:p>
    <w:p w14:paraId="1A2E7DC5">
      <w:pPr>
        <w:keepNext w:val="0"/>
        <w:keepLines w:val="0"/>
        <w:pageBreakBefore w:val="0"/>
        <w:widowControl/>
        <w:kinsoku/>
        <w:wordWrap w:val="0"/>
        <w:overflowPunct/>
        <w:topLinePunct/>
        <w:autoSpaceDE/>
        <w:autoSpaceDN/>
        <w:bidi w:val="0"/>
        <w:adjustRightInd/>
        <w:snapToGrid/>
        <w:spacing w:line="240" w:lineRule="auto"/>
        <w:ind w:leftChars="0"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6).采购人要求提供的相关资料。</w:t>
      </w:r>
    </w:p>
    <w:p w14:paraId="18A48C4E">
      <w:pPr>
        <w:keepNext w:val="0"/>
        <w:keepLines w:val="0"/>
        <w:pageBreakBefore w:val="0"/>
        <w:widowControl/>
        <w:kinsoku/>
        <w:wordWrap w:val="0"/>
        <w:overflowPunct/>
        <w:topLinePunct/>
        <w:autoSpaceDE/>
        <w:autoSpaceDN/>
        <w:bidi w:val="0"/>
        <w:adjustRightInd/>
        <w:snapToGrid/>
        <w:spacing w:line="240" w:lineRule="auto"/>
        <w:ind w:leftChars="0"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中标人或厂家原因无法按上述要求执行的，则采购人可以解除与中标人在成交合同中对该产品的采购相关约定。</w:t>
      </w:r>
    </w:p>
    <w:p w14:paraId="4255A461">
      <w:pPr>
        <w:keepNext w:val="0"/>
        <w:keepLines w:val="0"/>
        <w:pageBreakBefore w:val="0"/>
        <w:widowControl/>
        <w:kinsoku/>
        <w:wordWrap w:val="0"/>
        <w:overflowPunct/>
        <w:topLinePunct/>
        <w:autoSpaceDE/>
        <w:autoSpaceDN/>
        <w:bidi w:val="0"/>
        <w:adjustRightInd/>
        <w:snapToGrid/>
        <w:spacing w:line="240" w:lineRule="auto"/>
        <w:ind w:leftChars="0" w:firstLine="442" w:firstLineChars="200"/>
        <w:jc w:val="lef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 xml:space="preserve">6.包装和运输 </w:t>
      </w:r>
    </w:p>
    <w:p w14:paraId="5A5E86F2">
      <w:pPr>
        <w:keepNext w:val="0"/>
        <w:keepLines w:val="0"/>
        <w:pageBreakBefore w:val="0"/>
        <w:widowControl/>
        <w:kinsoku/>
        <w:wordWrap w:val="0"/>
        <w:overflowPunct/>
        <w:topLinePunct/>
        <w:autoSpaceDE/>
        <w:autoSpaceDN/>
        <w:bidi w:val="0"/>
        <w:adjustRightInd/>
        <w:snapToGrid/>
        <w:spacing w:line="240" w:lineRule="auto"/>
        <w:ind w:leftChars="0"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 xml:space="preserve">（1）中标人须严格按照《商品包装政府采购需求标准(试行)》、《快递包装政府采购需 求标准(试行)》(财办库〔2020〕123 号)的要求进行产品及相关快递服务的包装。   （2）中标人应当按照约定的方式交付标的物。对于包装方式没有约定或者约定不明确的，应当按照通用的方式包装；没有通用方式的，应当采取足以保护标的物且有利于节约资源，保护生态环境的包装方式。 </w:t>
      </w:r>
    </w:p>
    <w:p w14:paraId="1D235404">
      <w:pPr>
        <w:keepNext w:val="0"/>
        <w:keepLines w:val="0"/>
        <w:pageBreakBefore w:val="0"/>
        <w:widowControl/>
        <w:kinsoku/>
        <w:wordWrap w:val="0"/>
        <w:overflowPunct/>
        <w:topLinePunct/>
        <w:autoSpaceDE/>
        <w:autoSpaceDN/>
        <w:bidi w:val="0"/>
        <w:adjustRightInd/>
        <w:snapToGrid/>
        <w:spacing w:line="240" w:lineRule="auto"/>
        <w:ind w:leftChars="0" w:firstLine="440" w:firstLineChars="200"/>
        <w:jc w:val="left"/>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sz w:val="22"/>
          <w:szCs w:val="22"/>
          <w:lang w:val="en-US" w:eastAsia="zh-CN"/>
        </w:rPr>
        <w:t>（3）本次采购的标的物需要运输，中标人在合同约定的时间内将标的物运输至合同约定地点</w:t>
      </w:r>
      <w:r>
        <w:rPr>
          <w:rFonts w:hint="eastAsia" w:ascii="仿宋" w:hAnsi="仿宋" w:eastAsia="仿宋" w:cs="仿宋"/>
          <w:color w:val="000000"/>
          <w:kern w:val="0"/>
          <w:sz w:val="22"/>
          <w:szCs w:val="22"/>
          <w:u w:val="none"/>
          <w:lang w:val="en-US" w:eastAsia="zh-CN" w:bidi="ar"/>
        </w:rPr>
        <w:t>。</w:t>
      </w:r>
    </w:p>
    <w:p w14:paraId="05DD7898">
      <w:pPr>
        <w:pStyle w:val="7"/>
        <w:keepNext w:val="0"/>
        <w:keepLines w:val="0"/>
        <w:pageBreakBefore w:val="0"/>
        <w:kinsoku/>
        <w:wordWrap/>
        <w:overflowPunct/>
        <w:topLinePunct w:val="0"/>
        <w:autoSpaceDE/>
        <w:autoSpaceDN/>
        <w:bidi w:val="0"/>
        <w:adjustRightInd/>
        <w:snapToGrid/>
        <w:jc w:val="left"/>
        <w:textAlignment w:val="auto"/>
        <w:outlineLvl w:val="1"/>
        <w:rPr>
          <w:rFonts w:hint="eastAsia" w:ascii="仿宋" w:hAnsi="仿宋" w:eastAsia="仿宋" w:cs="仿宋"/>
        </w:rPr>
      </w:pPr>
      <w:r>
        <w:rPr>
          <w:rFonts w:hint="eastAsia" w:ascii="仿宋" w:hAnsi="仿宋" w:eastAsia="仿宋" w:cs="仿宋"/>
          <w:b/>
          <w:sz w:val="28"/>
        </w:rPr>
        <w:t>3.4.其他要求</w:t>
      </w:r>
    </w:p>
    <w:p w14:paraId="1AA6D0BF">
      <w:pPr>
        <w:pStyle w:val="7"/>
        <w:keepNext w:val="0"/>
        <w:keepLines w:val="0"/>
        <w:pageBreakBefore w:val="0"/>
        <w:kinsoku/>
        <w:wordWrap/>
        <w:overflowPunct/>
        <w:topLinePunct w:val="0"/>
        <w:autoSpaceDE/>
        <w:autoSpaceDN/>
        <w:bidi w:val="0"/>
        <w:adjustRightInd/>
        <w:snapToGrid/>
        <w:spacing w:line="240" w:lineRule="auto"/>
        <w:ind w:firstLine="442" w:firstLineChars="200"/>
        <w:jc w:val="left"/>
        <w:textAlignment w:val="auto"/>
        <w:outlineLvl w:val="9"/>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1.</w:t>
      </w:r>
      <w:r>
        <w:rPr>
          <w:rFonts w:hint="default" w:ascii="仿宋" w:hAnsi="仿宋" w:eastAsia="仿宋" w:cs="仿宋"/>
          <w:b/>
          <w:bCs/>
          <w:sz w:val="22"/>
          <w:szCs w:val="22"/>
          <w:lang w:val="en-US" w:eastAsia="zh-CN"/>
        </w:rPr>
        <w:t>违约责任与解决争议的方法：</w:t>
      </w:r>
    </w:p>
    <w:p w14:paraId="3A35C0FF">
      <w:pPr>
        <w:keepNext w:val="0"/>
        <w:keepLines w:val="0"/>
        <w:pageBreakBefore w:val="0"/>
        <w:widowControl w:val="0"/>
        <w:kinsoku/>
        <w:wordWrap/>
        <w:overflowPunct/>
        <w:topLinePunct w:val="0"/>
        <w:autoSpaceDE/>
        <w:autoSpaceDN/>
        <w:bidi w:val="0"/>
        <w:adjustRightInd/>
        <w:snapToGrid/>
        <w:spacing w:line="240" w:lineRule="auto"/>
        <w:ind w:firstLine="442" w:firstLineChars="200"/>
        <w:jc w:val="left"/>
        <w:textAlignment w:val="auto"/>
        <w:outlineLvl w:val="9"/>
        <w:rPr>
          <w:rFonts w:hint="eastAsia" w:ascii="Times New Roman" w:hAnsi="Times New Roman" w:eastAsia="仿宋" w:cs="Times New Roman"/>
          <w:b/>
          <w:bCs/>
          <w:color w:val="auto"/>
          <w:sz w:val="22"/>
          <w:szCs w:val="22"/>
          <w:highlight w:val="none"/>
          <w:shd w:val="clear" w:color="auto" w:fill="auto"/>
        </w:rPr>
      </w:pPr>
      <w:r>
        <w:rPr>
          <w:rFonts w:hint="eastAsia" w:ascii="仿宋" w:hAnsi="仿宋" w:eastAsia="仿宋" w:cs="仿宋"/>
          <w:b/>
          <w:bCs/>
          <w:sz w:val="22"/>
          <w:szCs w:val="22"/>
          <w:lang w:val="en-US" w:eastAsia="zh-CN"/>
        </w:rPr>
        <w:t>1.1</w:t>
      </w:r>
      <w:r>
        <w:rPr>
          <w:rFonts w:hint="eastAsia" w:ascii="Times New Roman" w:hAnsi="Times New Roman" w:eastAsia="仿宋" w:cs="Times New Roman"/>
          <w:b/>
          <w:bCs/>
          <w:color w:val="auto"/>
          <w:sz w:val="22"/>
          <w:szCs w:val="22"/>
          <w:highlight w:val="none"/>
          <w:shd w:val="clear" w:color="auto" w:fill="auto"/>
        </w:rPr>
        <w:t>违约责任</w:t>
      </w:r>
    </w:p>
    <w:p w14:paraId="2E238A17">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Times New Roman" w:hAnsi="Times New Roman" w:eastAsia="仿宋" w:cs="Times New Roman"/>
          <w:color w:val="auto"/>
          <w:sz w:val="22"/>
          <w:szCs w:val="22"/>
          <w:highlight w:val="none"/>
          <w:shd w:val="clear" w:color="auto" w:fill="auto"/>
          <w:lang w:eastAsia="zh-CN"/>
        </w:rPr>
      </w:pPr>
      <w:r>
        <w:rPr>
          <w:rFonts w:hint="eastAsia" w:ascii="Times New Roman" w:hAnsi="Times New Roman" w:eastAsia="仿宋" w:cs="Times New Roman"/>
          <w:color w:val="auto"/>
          <w:sz w:val="22"/>
          <w:szCs w:val="22"/>
          <w:highlight w:val="none"/>
          <w:shd w:val="clear" w:color="auto" w:fill="auto"/>
          <w:lang w:eastAsia="zh-CN"/>
        </w:rPr>
        <w:t>1、中标人逾期15日内不能提供采购人所需医用耗材的，应向采购人每日支付该批次货款千分之三的违约金。</w:t>
      </w:r>
    </w:p>
    <w:p w14:paraId="21915AB9">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Times New Roman" w:hAnsi="Times New Roman" w:eastAsia="仿宋" w:cs="Times New Roman"/>
          <w:color w:val="auto"/>
          <w:sz w:val="22"/>
          <w:szCs w:val="22"/>
          <w:highlight w:val="none"/>
          <w:shd w:val="clear" w:color="auto" w:fill="auto"/>
          <w:lang w:eastAsia="zh-CN"/>
        </w:rPr>
      </w:pPr>
      <w:r>
        <w:rPr>
          <w:rFonts w:hint="eastAsia" w:ascii="Times New Roman" w:hAnsi="Times New Roman" w:eastAsia="仿宋" w:cs="Times New Roman"/>
          <w:color w:val="auto"/>
          <w:sz w:val="22"/>
          <w:szCs w:val="22"/>
          <w:highlight w:val="none"/>
          <w:shd w:val="clear" w:color="auto" w:fill="auto"/>
          <w:lang w:eastAsia="zh-CN"/>
        </w:rPr>
        <w:t>2、中标人逾期15日及以上不能交付以上产品的，视同不能供货，须向采购人支付该批次货款的10%的违约金，同时采购人可以单方面解除采购合同。</w:t>
      </w:r>
    </w:p>
    <w:p w14:paraId="18CEA3BB">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Times New Roman" w:hAnsi="Times New Roman" w:eastAsia="仿宋" w:cs="Times New Roman"/>
          <w:color w:val="auto"/>
          <w:sz w:val="22"/>
          <w:szCs w:val="22"/>
          <w:highlight w:val="none"/>
          <w:shd w:val="clear" w:color="auto" w:fill="auto"/>
          <w:lang w:eastAsia="zh-CN"/>
        </w:rPr>
      </w:pPr>
      <w:r>
        <w:rPr>
          <w:rFonts w:hint="eastAsia" w:ascii="Times New Roman" w:hAnsi="Times New Roman" w:eastAsia="仿宋" w:cs="Times New Roman"/>
          <w:color w:val="auto"/>
          <w:sz w:val="22"/>
          <w:szCs w:val="22"/>
          <w:highlight w:val="none"/>
          <w:shd w:val="clear" w:color="auto" w:fill="auto"/>
          <w:lang w:eastAsia="zh-CN"/>
        </w:rPr>
        <w:t>3、若因中标人原因造成采购人被监管部门通报三次及以上的或者造成采购人违规采购，采购人有权单方面解除采购合同。同时，采购人有权要求中标人支付该批货物价款</w:t>
      </w:r>
      <w:r>
        <w:rPr>
          <w:rFonts w:hint="eastAsia" w:ascii="Times New Roman" w:hAnsi="Times New Roman" w:eastAsia="仿宋" w:cs="Times New Roman"/>
          <w:color w:val="auto"/>
          <w:sz w:val="22"/>
          <w:szCs w:val="22"/>
          <w:highlight w:val="none"/>
          <w:shd w:val="clear" w:color="auto" w:fill="auto"/>
          <w:lang w:val="en-US" w:eastAsia="zh-CN"/>
        </w:rPr>
        <w:t>20%</w:t>
      </w:r>
      <w:r>
        <w:rPr>
          <w:rFonts w:hint="eastAsia" w:ascii="Times New Roman" w:hAnsi="Times New Roman" w:eastAsia="仿宋" w:cs="Times New Roman"/>
          <w:color w:val="auto"/>
          <w:sz w:val="22"/>
          <w:szCs w:val="22"/>
          <w:highlight w:val="none"/>
          <w:shd w:val="clear" w:color="auto" w:fill="auto"/>
          <w:lang w:eastAsia="zh-CN"/>
        </w:rPr>
        <w:t>的违约金。</w:t>
      </w:r>
    </w:p>
    <w:p w14:paraId="0AFA432E">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Times New Roman" w:hAnsi="Times New Roman" w:eastAsia="仿宋" w:cs="Times New Roman"/>
          <w:color w:val="auto"/>
          <w:sz w:val="22"/>
          <w:szCs w:val="22"/>
          <w:highlight w:val="none"/>
          <w:shd w:val="clear" w:color="auto" w:fill="auto"/>
          <w:lang w:eastAsia="zh-CN"/>
        </w:rPr>
      </w:pPr>
      <w:r>
        <w:rPr>
          <w:rFonts w:hint="eastAsia" w:ascii="Times New Roman" w:hAnsi="Times New Roman" w:eastAsia="仿宋" w:cs="Times New Roman"/>
          <w:color w:val="auto"/>
          <w:sz w:val="22"/>
          <w:szCs w:val="22"/>
          <w:highlight w:val="none"/>
          <w:shd w:val="clear" w:color="auto" w:fill="auto"/>
          <w:lang w:eastAsia="zh-CN"/>
        </w:rPr>
        <w:t>4、中标人销售的产品若发生严重医疗不良事件或被国家法定检测机构检测为不合格产品，视为中标人违约导致不能实现采购合同目的，采购人有权单方面解除采购合同，并要求中标人限期收回不合格产品，并要求中标人需承担合同价款20%的违约金，违约金不足以</w:t>
      </w:r>
      <w:r>
        <w:rPr>
          <w:rFonts w:hint="eastAsia" w:ascii="Times New Roman" w:hAnsi="Times New Roman" w:eastAsia="仿宋" w:cs="Times New Roman"/>
          <w:color w:val="auto"/>
          <w:sz w:val="22"/>
          <w:szCs w:val="22"/>
          <w:highlight w:val="none"/>
          <w:shd w:val="clear" w:color="auto" w:fill="auto"/>
          <w:lang w:val="en-US" w:eastAsia="zh-CN"/>
        </w:rPr>
        <w:t>弥补采购人</w:t>
      </w:r>
      <w:r>
        <w:rPr>
          <w:rFonts w:hint="eastAsia" w:ascii="Times New Roman" w:hAnsi="Times New Roman" w:eastAsia="仿宋" w:cs="Times New Roman"/>
          <w:color w:val="auto"/>
          <w:sz w:val="22"/>
          <w:szCs w:val="22"/>
          <w:highlight w:val="none"/>
          <w:shd w:val="clear" w:color="auto" w:fill="auto"/>
          <w:lang w:eastAsia="zh-CN"/>
        </w:rPr>
        <w:t>损失的，中标人还应当承</w:t>
      </w:r>
      <w:r>
        <w:rPr>
          <w:rFonts w:hint="eastAsia" w:ascii="Times New Roman" w:hAnsi="Times New Roman" w:eastAsia="仿宋" w:cs="Times New Roman"/>
          <w:color w:val="auto"/>
          <w:sz w:val="22"/>
          <w:szCs w:val="22"/>
          <w:highlight w:val="none"/>
          <w:shd w:val="clear" w:color="auto" w:fill="auto"/>
          <w:lang w:val="en-US" w:eastAsia="zh-CN"/>
        </w:rPr>
        <w:t>补足</w:t>
      </w:r>
      <w:r>
        <w:rPr>
          <w:rFonts w:hint="eastAsia" w:ascii="Times New Roman" w:hAnsi="Times New Roman" w:eastAsia="仿宋" w:cs="Times New Roman"/>
          <w:color w:val="auto"/>
          <w:sz w:val="22"/>
          <w:szCs w:val="22"/>
          <w:highlight w:val="none"/>
          <w:shd w:val="clear" w:color="auto" w:fill="auto"/>
          <w:lang w:eastAsia="zh-CN"/>
        </w:rPr>
        <w:t>。</w:t>
      </w:r>
    </w:p>
    <w:p w14:paraId="60B3F144">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Times New Roman" w:hAnsi="Times New Roman" w:eastAsia="仿宋" w:cs="Times New Roman"/>
          <w:color w:val="auto"/>
          <w:sz w:val="22"/>
          <w:szCs w:val="22"/>
          <w:highlight w:val="none"/>
          <w:shd w:val="clear" w:color="auto" w:fill="auto"/>
          <w:lang w:eastAsia="zh-CN"/>
        </w:rPr>
      </w:pPr>
      <w:r>
        <w:rPr>
          <w:rFonts w:hint="eastAsia" w:ascii="Times New Roman" w:hAnsi="Times New Roman" w:eastAsia="仿宋" w:cs="Times New Roman"/>
          <w:color w:val="auto"/>
          <w:sz w:val="22"/>
          <w:szCs w:val="22"/>
          <w:highlight w:val="none"/>
          <w:shd w:val="clear" w:color="auto" w:fill="auto"/>
          <w:lang w:eastAsia="zh-CN"/>
        </w:rPr>
        <w:t>即使产品已经验收入库（或安装调试完毕）后，采购人才发现产品为不合格产品的，也视为中标人违约，中标人应当承担本条约定的责任。同时采购人有权退回库存产品。</w:t>
      </w:r>
    </w:p>
    <w:p w14:paraId="2A39B1E2">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Times New Roman" w:hAnsi="Times New Roman" w:eastAsia="仿宋" w:cs="Times New Roman"/>
          <w:color w:val="auto"/>
          <w:sz w:val="22"/>
          <w:szCs w:val="22"/>
          <w:highlight w:val="none"/>
          <w:shd w:val="clear" w:color="auto" w:fill="auto"/>
          <w:lang w:eastAsia="zh-CN"/>
        </w:rPr>
      </w:pPr>
      <w:r>
        <w:rPr>
          <w:rFonts w:hint="eastAsia" w:ascii="Times New Roman" w:hAnsi="Times New Roman" w:eastAsia="仿宋" w:cs="Times New Roman"/>
          <w:color w:val="auto"/>
          <w:sz w:val="22"/>
          <w:szCs w:val="22"/>
          <w:highlight w:val="none"/>
          <w:shd w:val="clear" w:color="auto" w:fill="auto"/>
          <w:lang w:eastAsia="zh-CN"/>
        </w:rPr>
        <w:t>5、若根据法律规定或本协议约定产生采购人退、换货或拒绝收货情形，由中标人承担退换货产生的各项税、费或其他支出。</w:t>
      </w:r>
    </w:p>
    <w:p w14:paraId="06C6BB18">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Times New Roman" w:hAnsi="Times New Roman" w:eastAsia="仿宋" w:cs="Times New Roman"/>
          <w:color w:val="auto"/>
          <w:sz w:val="22"/>
          <w:szCs w:val="22"/>
          <w:highlight w:val="none"/>
          <w:shd w:val="clear" w:color="auto" w:fill="auto"/>
          <w:lang w:eastAsia="zh-CN"/>
        </w:rPr>
      </w:pPr>
      <w:r>
        <w:rPr>
          <w:rFonts w:hint="eastAsia" w:ascii="Times New Roman" w:hAnsi="Times New Roman" w:eastAsia="仿宋" w:cs="Times New Roman"/>
          <w:color w:val="auto"/>
          <w:sz w:val="22"/>
          <w:szCs w:val="22"/>
          <w:highlight w:val="none"/>
          <w:shd w:val="clear" w:color="auto" w:fill="auto"/>
          <w:lang w:eastAsia="zh-CN"/>
        </w:rPr>
        <w:t>6、中标人不能保证及时供货，除应当向采购人承担违约责任外，采购人仍有权单方面解除采购合同。</w:t>
      </w:r>
    </w:p>
    <w:p w14:paraId="55E77D76">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Times New Roman" w:hAnsi="Times New Roman" w:eastAsia="仿宋" w:cs="Times New Roman"/>
          <w:color w:val="auto"/>
          <w:sz w:val="22"/>
          <w:szCs w:val="22"/>
          <w:highlight w:val="none"/>
          <w:shd w:val="clear" w:color="auto" w:fill="auto"/>
          <w:lang w:eastAsia="zh-CN"/>
        </w:rPr>
      </w:pPr>
      <w:r>
        <w:rPr>
          <w:rFonts w:hint="eastAsia" w:ascii="Times New Roman" w:hAnsi="Times New Roman" w:eastAsia="仿宋" w:cs="Times New Roman"/>
          <w:color w:val="auto"/>
          <w:sz w:val="22"/>
          <w:szCs w:val="22"/>
          <w:highlight w:val="none"/>
          <w:shd w:val="clear" w:color="auto" w:fill="auto"/>
          <w:lang w:eastAsia="zh-CN"/>
        </w:rPr>
        <w:t>7、因中标人提供的产品不合格造成采购人或第三人人身损害或财产损失的，由中标人承担赔偿责任。</w:t>
      </w:r>
    </w:p>
    <w:p w14:paraId="7F4B61B0">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Times New Roman" w:hAnsi="Times New Roman" w:eastAsia="仿宋" w:cs="Times New Roman"/>
          <w:color w:val="auto"/>
          <w:sz w:val="22"/>
          <w:szCs w:val="22"/>
          <w:highlight w:val="none"/>
          <w:shd w:val="clear" w:color="auto" w:fill="auto"/>
          <w:lang w:val="en-US" w:eastAsia="zh-CN"/>
        </w:rPr>
      </w:pPr>
      <w:r>
        <w:rPr>
          <w:rFonts w:hint="eastAsia" w:ascii="Times New Roman" w:hAnsi="Times New Roman" w:eastAsia="仿宋" w:cs="Times New Roman"/>
          <w:color w:val="auto"/>
          <w:sz w:val="22"/>
          <w:szCs w:val="22"/>
          <w:highlight w:val="none"/>
          <w:shd w:val="clear" w:color="auto" w:fill="auto"/>
          <w:lang w:val="en-US" w:eastAsia="zh-CN"/>
        </w:rPr>
        <w:t>8、</w:t>
      </w:r>
      <w:r>
        <w:rPr>
          <w:rFonts w:hint="eastAsia" w:ascii="Times New Roman" w:hAnsi="Times New Roman" w:eastAsia="仿宋" w:cs="Times New Roman"/>
          <w:color w:val="auto"/>
          <w:sz w:val="22"/>
          <w:szCs w:val="22"/>
          <w:highlight w:val="none"/>
          <w:shd w:val="clear" w:color="auto" w:fill="auto"/>
          <w:lang w:val="en-US" w:eastAsia="zh-CN"/>
        </w:rPr>
        <w:tab/>
      </w:r>
      <w:r>
        <w:rPr>
          <w:rFonts w:hint="eastAsia" w:ascii="Times New Roman" w:hAnsi="Times New Roman" w:eastAsia="仿宋" w:cs="Times New Roman"/>
          <w:color w:val="auto"/>
          <w:sz w:val="22"/>
          <w:szCs w:val="22"/>
          <w:highlight w:val="none"/>
          <w:shd w:val="clear" w:color="auto" w:fill="auto"/>
          <w:lang w:val="en-US" w:eastAsia="zh-CN"/>
        </w:rPr>
        <w:t>若因中标人原因造成采购人挂网执行存在问题以及线上支付不及时、造成采购人未挂网采购的或者存在其他问题的，中标人应承担违约责任，且</w:t>
      </w:r>
      <w:r>
        <w:rPr>
          <w:rFonts w:hint="eastAsia" w:ascii="Times New Roman" w:hAnsi="Times New Roman" w:eastAsia="仿宋" w:cs="Times New Roman"/>
          <w:color w:val="auto"/>
          <w:sz w:val="22"/>
          <w:szCs w:val="22"/>
          <w:highlight w:val="none"/>
          <w:shd w:val="clear" w:color="auto" w:fill="auto"/>
          <w:lang w:eastAsia="zh-CN"/>
        </w:rPr>
        <w:t>采购人有权要求中标人支付该批货物价款</w:t>
      </w:r>
      <w:r>
        <w:rPr>
          <w:rFonts w:hint="eastAsia" w:ascii="Times New Roman" w:hAnsi="Times New Roman" w:eastAsia="仿宋" w:cs="Times New Roman"/>
          <w:color w:val="auto"/>
          <w:sz w:val="22"/>
          <w:szCs w:val="22"/>
          <w:highlight w:val="none"/>
          <w:shd w:val="clear" w:color="auto" w:fill="auto"/>
          <w:lang w:val="en-US" w:eastAsia="zh-CN"/>
        </w:rPr>
        <w:t>20%</w:t>
      </w:r>
      <w:r>
        <w:rPr>
          <w:rFonts w:hint="eastAsia" w:ascii="Times New Roman" w:hAnsi="Times New Roman" w:eastAsia="仿宋" w:cs="Times New Roman"/>
          <w:color w:val="auto"/>
          <w:sz w:val="22"/>
          <w:szCs w:val="22"/>
          <w:highlight w:val="none"/>
          <w:shd w:val="clear" w:color="auto" w:fill="auto"/>
          <w:lang w:eastAsia="zh-CN"/>
        </w:rPr>
        <w:t>的违约金，采购人有权单方面解除合同。</w:t>
      </w:r>
    </w:p>
    <w:p w14:paraId="2180DD8F">
      <w:pPr>
        <w:keepNext w:val="0"/>
        <w:keepLines w:val="0"/>
        <w:pageBreakBefore w:val="0"/>
        <w:widowControl w:val="0"/>
        <w:kinsoku/>
        <w:wordWrap/>
        <w:overflowPunct/>
        <w:topLinePunct w:val="0"/>
        <w:autoSpaceDE/>
        <w:autoSpaceDN/>
        <w:bidi w:val="0"/>
        <w:adjustRightInd/>
        <w:snapToGrid/>
        <w:spacing w:line="240" w:lineRule="auto"/>
        <w:ind w:firstLine="442" w:firstLineChars="200"/>
        <w:jc w:val="left"/>
        <w:textAlignment w:val="auto"/>
        <w:rPr>
          <w:rFonts w:hint="eastAsia" w:ascii="Times New Roman" w:hAnsi="Times New Roman" w:eastAsia="仿宋" w:cs="Times New Roman"/>
          <w:b/>
          <w:bCs/>
          <w:color w:val="auto"/>
          <w:sz w:val="22"/>
          <w:szCs w:val="22"/>
          <w:highlight w:val="none"/>
          <w:shd w:val="clear" w:color="auto" w:fill="auto"/>
        </w:rPr>
      </w:pPr>
      <w:r>
        <w:rPr>
          <w:rFonts w:hint="eastAsia" w:eastAsia="仿宋" w:cs="Times New Roman"/>
          <w:b/>
          <w:bCs/>
          <w:color w:val="auto"/>
          <w:sz w:val="22"/>
          <w:szCs w:val="22"/>
          <w:highlight w:val="none"/>
          <w:shd w:val="clear" w:color="auto" w:fill="auto"/>
          <w:lang w:val="en-US" w:eastAsia="zh-CN"/>
        </w:rPr>
        <w:t>1.2</w:t>
      </w:r>
      <w:r>
        <w:rPr>
          <w:rFonts w:hint="eastAsia" w:ascii="Times New Roman" w:hAnsi="Times New Roman" w:eastAsia="仿宋" w:cs="Times New Roman"/>
          <w:b/>
          <w:bCs/>
          <w:color w:val="auto"/>
          <w:sz w:val="22"/>
          <w:szCs w:val="22"/>
          <w:highlight w:val="none"/>
          <w:shd w:val="clear" w:color="auto" w:fill="auto"/>
        </w:rPr>
        <w:t>解决合同纠纷的方式</w:t>
      </w:r>
    </w:p>
    <w:p w14:paraId="0C9F6CCF">
      <w:pPr>
        <w:keepNext w:val="0"/>
        <w:keepLines w:val="0"/>
        <w:pageBreakBefore w:val="0"/>
        <w:kinsoku/>
        <w:wordWrap/>
        <w:overflowPunct/>
        <w:topLinePunct w:val="0"/>
        <w:autoSpaceDE/>
        <w:autoSpaceDN/>
        <w:bidi w:val="0"/>
        <w:adjustRightInd/>
        <w:snapToGrid/>
        <w:spacing w:line="240" w:lineRule="auto"/>
        <w:ind w:firstLine="440" w:firstLineChars="200"/>
        <w:jc w:val="left"/>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1、因货物的质量问题发生的争议，由法定质量鉴定机构或其认可的质量鉴定机构进行质量鉴定。货物符合标准的，鉴定费由采购人承担；货物不符合质量标准的，鉴定费由中标人承担。</w:t>
      </w:r>
    </w:p>
    <w:p w14:paraId="1FC5A8B2">
      <w:pPr>
        <w:keepNext w:val="0"/>
        <w:keepLines w:val="0"/>
        <w:pageBreakBefore w:val="0"/>
        <w:kinsoku/>
        <w:wordWrap/>
        <w:overflowPunct/>
        <w:topLinePunct w:val="0"/>
        <w:autoSpaceDE/>
        <w:autoSpaceDN/>
        <w:bidi w:val="0"/>
        <w:adjustRightInd/>
        <w:snapToGrid/>
        <w:spacing w:line="240" w:lineRule="auto"/>
        <w:ind w:firstLine="440" w:firstLineChars="200"/>
        <w:jc w:val="left"/>
        <w:textAlignment w:val="auto"/>
        <w:rPr>
          <w:rFonts w:hint="default"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2、合同履行期间，若双方发生争议，可协商或由有关部门调解解决，协商或调解不成的，可向采购人所在地人民法院依法提起诉讼。</w:t>
      </w:r>
    </w:p>
    <w:p w14:paraId="5FB6E11C">
      <w:pPr>
        <w:pStyle w:val="7"/>
        <w:keepNext w:val="0"/>
        <w:keepLines w:val="0"/>
        <w:pageBreakBefore w:val="0"/>
        <w:kinsoku/>
        <w:wordWrap/>
        <w:overflowPunct/>
        <w:topLinePunct w:val="0"/>
        <w:autoSpaceDE/>
        <w:autoSpaceDN/>
        <w:bidi w:val="0"/>
        <w:adjustRightInd/>
        <w:snapToGrid/>
        <w:spacing w:line="240" w:lineRule="auto"/>
        <w:ind w:firstLine="442" w:firstLineChars="20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b/>
          <w:bCs/>
          <w:sz w:val="22"/>
          <w:szCs w:val="22"/>
          <w:highlight w:val="none"/>
          <w:lang w:val="en-US" w:eastAsia="zh-CN"/>
        </w:rPr>
        <w:t>2.</w:t>
      </w:r>
      <w:r>
        <w:rPr>
          <w:rFonts w:hint="eastAsia" w:ascii="仿宋" w:hAnsi="仿宋" w:eastAsia="仿宋" w:cs="仿宋"/>
          <w:b/>
          <w:bCs/>
          <w:color w:val="auto"/>
          <w:sz w:val="22"/>
          <w:szCs w:val="22"/>
          <w:highlight w:val="none"/>
          <w:shd w:val="clear" w:color="auto" w:fill="auto"/>
        </w:rPr>
        <w:t>履行期限</w:t>
      </w:r>
      <w:r>
        <w:rPr>
          <w:rFonts w:hint="eastAsia" w:ascii="仿宋" w:hAnsi="仿宋" w:eastAsia="仿宋" w:cs="仿宋"/>
          <w:b/>
          <w:bCs/>
          <w:color w:val="auto"/>
          <w:sz w:val="22"/>
          <w:szCs w:val="22"/>
          <w:highlight w:val="none"/>
          <w:shd w:val="clear" w:color="auto" w:fill="auto"/>
          <w:lang w:eastAsia="zh-CN"/>
        </w:rPr>
        <w:t>：</w:t>
      </w:r>
      <w:r>
        <w:rPr>
          <w:rFonts w:hint="eastAsia" w:ascii="仿宋" w:hAnsi="仿宋" w:eastAsia="仿宋" w:cs="仿宋"/>
          <w:b w:val="0"/>
          <w:bCs w:val="0"/>
          <w:color w:val="auto"/>
          <w:sz w:val="22"/>
          <w:szCs w:val="22"/>
          <w:highlight w:val="none"/>
          <w:shd w:val="clear" w:color="auto" w:fill="auto"/>
          <w:lang w:val="en-US" w:eastAsia="zh-CN"/>
        </w:rPr>
        <w:t>服务期</w:t>
      </w:r>
      <w:r>
        <w:rPr>
          <w:rFonts w:hint="eastAsia" w:ascii="仿宋" w:hAnsi="仿宋" w:eastAsia="仿宋" w:cs="仿宋"/>
          <w:color w:val="auto"/>
          <w:sz w:val="22"/>
          <w:szCs w:val="22"/>
          <w:highlight w:val="none"/>
          <w:shd w:val="clear" w:color="auto" w:fill="auto"/>
          <w:lang w:val="en-US" w:eastAsia="zh-CN"/>
        </w:rPr>
        <w:t>2年，合同一签2年</w:t>
      </w:r>
      <w:r>
        <w:rPr>
          <w:rFonts w:hint="eastAsia" w:ascii="仿宋" w:hAnsi="仿宋" w:eastAsia="仿宋" w:cs="仿宋"/>
          <w:color w:val="000000"/>
          <w:kern w:val="0"/>
          <w:sz w:val="22"/>
          <w:szCs w:val="22"/>
          <w:highlight w:val="none"/>
          <w:u w:val="none"/>
          <w:lang w:val="en-US" w:eastAsia="zh-CN" w:bidi="ar"/>
        </w:rPr>
        <w:t>。</w:t>
      </w:r>
    </w:p>
    <w:p w14:paraId="1F2C5794">
      <w:pPr>
        <w:pStyle w:val="7"/>
        <w:keepNext w:val="0"/>
        <w:keepLines w:val="0"/>
        <w:pageBreakBefore w:val="0"/>
        <w:kinsoku/>
        <w:wordWrap/>
        <w:overflowPunct/>
        <w:topLinePunct w:val="0"/>
        <w:autoSpaceDE/>
        <w:autoSpaceDN/>
        <w:bidi w:val="0"/>
        <w:adjustRightInd/>
        <w:snapToGrid/>
        <w:spacing w:line="240" w:lineRule="auto"/>
        <w:ind w:firstLine="442" w:firstLineChars="200"/>
        <w:jc w:val="left"/>
        <w:textAlignment w:val="auto"/>
        <w:rPr>
          <w:rFonts w:hint="eastAsia" w:ascii="仿宋" w:hAnsi="仿宋" w:eastAsia="仿宋" w:cs="仿宋"/>
          <w:b w:val="0"/>
          <w:bCs w:val="0"/>
          <w:sz w:val="22"/>
          <w:szCs w:val="22"/>
          <w:lang w:val="en-US" w:eastAsia="zh-CN"/>
        </w:rPr>
      </w:pPr>
      <w:r>
        <w:rPr>
          <w:rFonts w:hint="eastAsia" w:ascii="仿宋" w:hAnsi="仿宋" w:eastAsia="仿宋" w:cs="仿宋"/>
          <w:b/>
          <w:bCs/>
          <w:sz w:val="22"/>
          <w:szCs w:val="22"/>
          <w:lang w:val="en-US" w:eastAsia="zh-CN"/>
        </w:rPr>
        <w:t>3.支付方式：</w:t>
      </w:r>
      <w:r>
        <w:rPr>
          <w:rFonts w:hint="eastAsia" w:ascii="仿宋" w:hAnsi="仿宋" w:eastAsia="仿宋" w:cs="仿宋"/>
          <w:color w:val="000000"/>
          <w:kern w:val="0"/>
          <w:sz w:val="22"/>
          <w:szCs w:val="22"/>
          <w:u w:val="none"/>
          <w:lang w:val="en-US" w:eastAsia="zh-CN" w:bidi="ar"/>
        </w:rPr>
        <w:t>双方协商确定。</w:t>
      </w:r>
    </w:p>
    <w:p w14:paraId="166DDE58">
      <w:pPr>
        <w:pStyle w:val="7"/>
        <w:keepNext w:val="0"/>
        <w:keepLines w:val="0"/>
        <w:pageBreakBefore w:val="0"/>
        <w:kinsoku/>
        <w:wordWrap/>
        <w:overflowPunct/>
        <w:topLinePunct w:val="0"/>
        <w:autoSpaceDE/>
        <w:autoSpaceDN/>
        <w:bidi w:val="0"/>
        <w:adjustRightInd/>
        <w:snapToGrid/>
        <w:spacing w:line="240" w:lineRule="auto"/>
        <w:ind w:firstLine="442" w:firstLineChars="200"/>
        <w:jc w:val="left"/>
        <w:textAlignment w:val="auto"/>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4.履约验收程序：</w:t>
      </w:r>
      <w:r>
        <w:rPr>
          <w:rFonts w:hint="eastAsia" w:ascii="仿宋" w:hAnsi="仿宋" w:eastAsia="仿宋" w:cs="仿宋"/>
          <w:color w:val="000000"/>
          <w:kern w:val="0"/>
          <w:sz w:val="22"/>
          <w:szCs w:val="22"/>
          <w:u w:val="none"/>
          <w:lang w:val="en-US" w:eastAsia="zh-CN" w:bidi="ar"/>
        </w:rPr>
        <w:t>分批次验收。</w:t>
      </w:r>
    </w:p>
    <w:p w14:paraId="27E63FD6">
      <w:pPr>
        <w:keepNext w:val="0"/>
        <w:keepLines w:val="0"/>
        <w:pageBreakBefore w:val="0"/>
        <w:widowControl w:val="0"/>
        <w:kinsoku/>
        <w:wordWrap/>
        <w:overflowPunct/>
        <w:topLinePunct w:val="0"/>
        <w:autoSpaceDE/>
        <w:autoSpaceDN/>
        <w:bidi w:val="0"/>
        <w:adjustRightInd/>
        <w:snapToGrid/>
        <w:spacing w:line="240" w:lineRule="auto"/>
        <w:ind w:firstLine="442" w:firstLineChars="200"/>
        <w:jc w:val="left"/>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b/>
          <w:bCs/>
          <w:sz w:val="22"/>
          <w:szCs w:val="22"/>
          <w:lang w:val="en-US" w:eastAsia="zh-CN"/>
        </w:rPr>
        <w:t>5.履约验收时间：</w:t>
      </w:r>
      <w:r>
        <w:rPr>
          <w:rFonts w:hint="eastAsia" w:ascii="仿宋" w:hAnsi="仿宋" w:eastAsia="仿宋" w:cs="仿宋"/>
          <w:color w:val="000000"/>
          <w:kern w:val="0"/>
          <w:sz w:val="22"/>
          <w:szCs w:val="22"/>
          <w:u w:val="none"/>
          <w:lang w:val="en-US" w:eastAsia="zh-CN" w:bidi="ar"/>
        </w:rPr>
        <w:t>合同期限内，根据采购人要求分批次送货，完成送货、验收入库视为验收完成。</w:t>
      </w:r>
    </w:p>
    <w:p w14:paraId="7113204D">
      <w:pPr>
        <w:keepNext w:val="0"/>
        <w:keepLines w:val="0"/>
        <w:pageBreakBefore w:val="0"/>
        <w:widowControl w:val="0"/>
        <w:kinsoku/>
        <w:wordWrap/>
        <w:overflowPunct/>
        <w:topLinePunct w:val="0"/>
        <w:autoSpaceDE/>
        <w:autoSpaceDN/>
        <w:bidi w:val="0"/>
        <w:adjustRightInd/>
        <w:snapToGrid/>
        <w:spacing w:line="240" w:lineRule="auto"/>
        <w:ind w:firstLine="442" w:firstLineChars="200"/>
        <w:jc w:val="left"/>
        <w:textAlignment w:val="auto"/>
        <w:rPr>
          <w:rFonts w:hint="eastAsia" w:ascii="仿宋" w:hAnsi="仿宋" w:eastAsia="仿宋" w:cs="仿宋"/>
          <w:b/>
          <w:bCs/>
          <w:sz w:val="22"/>
          <w:szCs w:val="22"/>
          <w:lang w:val="en-US" w:eastAsia="zh-CN"/>
        </w:rPr>
      </w:pPr>
      <w:r>
        <w:rPr>
          <w:rFonts w:hint="eastAsia" w:ascii="仿宋" w:hAnsi="仿宋" w:eastAsia="仿宋" w:cs="仿宋"/>
          <w:b/>
          <w:bCs/>
          <w:color w:val="000000"/>
          <w:kern w:val="0"/>
          <w:sz w:val="22"/>
          <w:szCs w:val="22"/>
          <w:u w:val="none"/>
          <w:lang w:val="en-US" w:eastAsia="zh-CN" w:bidi="ar"/>
        </w:rPr>
        <w:t>6.</w:t>
      </w:r>
      <w:r>
        <w:rPr>
          <w:rFonts w:hint="eastAsia" w:ascii="仿宋" w:hAnsi="仿宋" w:eastAsia="仿宋" w:cs="仿宋"/>
          <w:b/>
          <w:bCs/>
          <w:sz w:val="22"/>
          <w:szCs w:val="22"/>
          <w:lang w:val="en-US" w:eastAsia="zh-CN"/>
        </w:rPr>
        <w:t>技术履约验收内容：</w:t>
      </w:r>
      <w:r>
        <w:rPr>
          <w:rFonts w:hint="eastAsia" w:ascii="仿宋" w:hAnsi="仿宋" w:eastAsia="仿宋" w:cs="仿宋"/>
          <w:b w:val="0"/>
          <w:bCs w:val="0"/>
          <w:sz w:val="22"/>
          <w:szCs w:val="22"/>
          <w:lang w:val="en-US" w:eastAsia="zh-CN"/>
        </w:rPr>
        <w:t>采购人按照本项目技术要求进行验收。</w:t>
      </w:r>
    </w:p>
    <w:p w14:paraId="43F3A58C">
      <w:pPr>
        <w:keepNext w:val="0"/>
        <w:keepLines w:val="0"/>
        <w:pageBreakBefore w:val="0"/>
        <w:widowControl w:val="0"/>
        <w:kinsoku/>
        <w:wordWrap/>
        <w:overflowPunct/>
        <w:topLinePunct w:val="0"/>
        <w:autoSpaceDE/>
        <w:autoSpaceDN/>
        <w:bidi w:val="0"/>
        <w:adjustRightInd/>
        <w:snapToGrid/>
        <w:spacing w:line="240" w:lineRule="auto"/>
        <w:ind w:firstLine="442" w:firstLineChars="200"/>
        <w:jc w:val="left"/>
        <w:textAlignment w:val="auto"/>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7.商务履约验收内容：</w:t>
      </w:r>
      <w:r>
        <w:rPr>
          <w:rFonts w:hint="eastAsia" w:ascii="仿宋" w:hAnsi="仿宋" w:eastAsia="仿宋" w:cs="仿宋"/>
          <w:b w:val="0"/>
          <w:bCs w:val="0"/>
          <w:sz w:val="22"/>
          <w:szCs w:val="22"/>
          <w:lang w:val="en-US" w:eastAsia="zh-CN"/>
        </w:rPr>
        <w:t>采购人按照本项目商务要求进行验收。</w:t>
      </w:r>
    </w:p>
    <w:p w14:paraId="63CE1310">
      <w:pPr>
        <w:keepNext w:val="0"/>
        <w:keepLines w:val="0"/>
        <w:pageBreakBefore w:val="0"/>
        <w:widowControl w:val="0"/>
        <w:kinsoku/>
        <w:wordWrap/>
        <w:overflowPunct/>
        <w:topLinePunct w:val="0"/>
        <w:autoSpaceDE/>
        <w:autoSpaceDN/>
        <w:bidi w:val="0"/>
        <w:adjustRightInd/>
        <w:snapToGrid/>
        <w:spacing w:line="360" w:lineRule="auto"/>
        <w:ind w:firstLine="442"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bCs/>
          <w:sz w:val="22"/>
          <w:szCs w:val="22"/>
          <w:lang w:val="en-US" w:eastAsia="zh-CN"/>
        </w:rPr>
        <w:t>8.履约收标准：</w:t>
      </w:r>
      <w:r>
        <w:rPr>
          <w:rFonts w:hint="eastAsia" w:ascii="仿宋" w:hAnsi="仿宋" w:eastAsia="仿宋" w:cs="仿宋"/>
          <w:b w:val="0"/>
          <w:bCs w:val="0"/>
          <w:sz w:val="22"/>
          <w:szCs w:val="22"/>
          <w:lang w:val="en-US" w:eastAsia="zh-CN"/>
        </w:rPr>
        <w:t>采购人按照本项目合同要求进行验收</w:t>
      </w:r>
      <w:bookmarkStart w:id="1" w:name="_GoBack"/>
      <w:bookmarkEnd w:id="1"/>
      <w:r>
        <w:rPr>
          <w:rFonts w:hint="eastAsia" w:ascii="仿宋" w:hAnsi="仿宋" w:eastAsia="仿宋" w:cs="仿宋"/>
          <w:b w:val="0"/>
          <w:bCs w:val="0"/>
          <w:sz w:val="24"/>
          <w:szCs w:val="24"/>
          <w:highlight w:val="none"/>
          <w:lang w:val="en-US" w:eastAsia="zh-CN"/>
        </w:rPr>
        <w:t>。</w:t>
      </w:r>
    </w:p>
    <w:p w14:paraId="4B26F91A">
      <w:pPr>
        <w:ind w:firstLine="440" w:firstLineChars="200"/>
      </w:pPr>
      <w:r>
        <w:rPr>
          <w:rFonts w:hint="eastAsia" w:ascii="仿宋" w:hAnsi="仿宋" w:eastAsia="仿宋" w:cs="仿宋"/>
          <w:color w:val="000000"/>
          <w:kern w:val="0"/>
          <w:sz w:val="22"/>
          <w:szCs w:val="22"/>
          <w:u w:val="none"/>
          <w:lang w:val="en-US" w:eastAsia="zh-CN" w:bidi="ar"/>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F66F5"/>
    <w:rsid w:val="108B406B"/>
    <w:rsid w:val="18864C72"/>
    <w:rsid w:val="1ACE595C"/>
    <w:rsid w:val="20611393"/>
    <w:rsid w:val="388A64C7"/>
    <w:rsid w:val="5F691A0D"/>
    <w:rsid w:val="67B475D0"/>
    <w:rsid w:val="67BA4749"/>
    <w:rsid w:val="73AD7A2C"/>
    <w:rsid w:val="7D7608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val="0"/>
      <w:autoSpaceDE/>
      <w:autoSpaceDN/>
      <w:spacing w:before="0" w:after="0" w:line="360" w:lineRule="auto"/>
      <w:ind w:left="0" w:firstLine="24"/>
      <w:jc w:val="center"/>
      <w:outlineLvl w:val="0"/>
    </w:pPr>
    <w:rPr>
      <w:rFonts w:ascii="Times New Roman" w:hAnsi="Times New Roman" w:eastAsia="仿宋" w:cs="Times New Roman"/>
      <w:b/>
      <w:sz w:val="32"/>
      <w:szCs w:val="22"/>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99"/>
    <w:pPr>
      <w:snapToGrid w:val="0"/>
      <w:spacing w:line="440" w:lineRule="exact"/>
    </w:pPr>
    <w:rPr>
      <w:rFonts w:ascii="Times New Roman" w:eastAsia="Times New Roman"/>
      <w:sz w:val="20"/>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3580</Words>
  <Characters>3695</Characters>
  <Lines>0</Lines>
  <Paragraphs>0</Paragraphs>
  <TotalTime>0</TotalTime>
  <ScaleCrop>false</ScaleCrop>
  <LinksUpToDate>false</LinksUpToDate>
  <CharactersWithSpaces>3702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超超杨</cp:lastModifiedBy>
  <dcterms:modified xsi:type="dcterms:W3CDTF">2025-04-24T01:58:44Z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eyJoZGlkIjoiYzI4N2ZiMDIxNTgzYTE0ZGY4Y2VmOTFiZDBiZGUxMjUiLCJ1c2VySWQiOiIyOTgyNDc5NTEifQ==</vt:lpwstr>
  </property>
  <property fmtid="{D5CDD505-2E9C-101B-9397-08002B2CF9AE}" pid="4" name="ICV">
    <vt:lpwstr>C5B7C8CBB9774CFEB3B6A5951A74B4A9_12</vt:lpwstr>
  </property>
</Properties>
</file>