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CFB91">
      <w:pPr>
        <w:pStyle w:val="6"/>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502625C4">
      <w:pPr>
        <w:pStyle w:val="6"/>
        <w:spacing w:line="360" w:lineRule="auto"/>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115930AA">
      <w:pPr>
        <w:pStyle w:val="6"/>
        <w:spacing w:line="360" w:lineRule="auto"/>
        <w:jc w:val="left"/>
        <w:outlineLvl w:val="1"/>
        <w:rPr>
          <w:rFonts w:hint="eastAsia" w:ascii="仿宋" w:hAnsi="仿宋" w:eastAsia="仿宋" w:cs="仿宋"/>
          <w:sz w:val="24"/>
          <w:szCs w:val="24"/>
          <w:highlight w:val="none"/>
          <w:lang w:eastAsia="zh-CN"/>
        </w:rPr>
      </w:pPr>
      <w:r>
        <w:rPr>
          <w:rFonts w:hint="eastAsia" w:ascii="仿宋" w:hAnsi="仿宋" w:eastAsia="仿宋" w:cs="仿宋"/>
          <w:b/>
          <w:sz w:val="24"/>
          <w:szCs w:val="24"/>
          <w:highlight w:val="none"/>
          <w:lang w:eastAsia="zh-CN"/>
        </w:rPr>
        <w:t>一、</w:t>
      </w:r>
      <w:r>
        <w:rPr>
          <w:rFonts w:hint="eastAsia" w:ascii="仿宋" w:hAnsi="仿宋" w:eastAsia="仿宋" w:cs="仿宋"/>
          <w:b/>
          <w:sz w:val="24"/>
          <w:szCs w:val="24"/>
          <w:highlight w:val="none"/>
          <w:lang w:val="en-US" w:eastAsia="zh-CN"/>
        </w:rPr>
        <w:t>标的情况</w:t>
      </w:r>
    </w:p>
    <w:p w14:paraId="02F8601C">
      <w:pPr>
        <w:pStyle w:val="6"/>
        <w:spacing w:line="360" w:lineRule="auto"/>
        <w:jc w:val="left"/>
        <w:outlineLvl w:val="2"/>
        <w:rPr>
          <w:rFonts w:hint="eastAsia" w:ascii="仿宋" w:hAnsi="仿宋" w:eastAsia="仿宋" w:cs="仿宋"/>
          <w:b/>
          <w:bCs/>
          <w:i w:val="0"/>
          <w:iCs w:val="0"/>
          <w:sz w:val="24"/>
          <w:szCs w:val="24"/>
        </w:rPr>
      </w:pPr>
      <w:r>
        <w:rPr>
          <w:rFonts w:hint="eastAsia" w:ascii="仿宋" w:hAnsi="仿宋" w:eastAsia="仿宋" w:cs="仿宋"/>
          <w:b/>
          <w:bCs/>
          <w:i w:val="0"/>
          <w:iCs w:val="0"/>
          <w:sz w:val="24"/>
          <w:szCs w:val="24"/>
        </w:rPr>
        <w:t>采购包1：</w:t>
      </w:r>
    </w:p>
    <w:p w14:paraId="1E09A6D9">
      <w:pPr>
        <w:pStyle w:val="6"/>
        <w:spacing w:line="360" w:lineRule="auto"/>
        <w:ind w:firstLine="480" w:firstLineChars="200"/>
        <w:jc w:val="left"/>
        <w:outlineLvl w:val="2"/>
        <w:rPr>
          <w:rFonts w:hint="eastAsia" w:ascii="仿宋" w:hAnsi="仿宋" w:eastAsia="仿宋" w:cs="仿宋"/>
          <w:color w:val="auto"/>
          <w:sz w:val="24"/>
          <w:highlight w:val="none"/>
          <w:u w:val="none"/>
          <w:lang w:val="en-US" w:eastAsia="zh-CN"/>
        </w:rPr>
      </w:pPr>
      <w:r>
        <w:rPr>
          <w:rFonts w:hint="eastAsia" w:ascii="仿宋" w:hAnsi="仿宋" w:eastAsia="仿宋" w:cs="仿宋"/>
          <w:color w:val="auto"/>
          <w:sz w:val="24"/>
          <w:highlight w:val="none"/>
          <w:u w:val="none"/>
          <w:lang w:val="en-US" w:eastAsia="zh-CN"/>
        </w:rPr>
        <w:t>纤丝止血纱配送服务，最高单价限价1242元，据实结算，配送服务期2年。</w:t>
      </w:r>
    </w:p>
    <w:p w14:paraId="2F1970C1">
      <w:pPr>
        <w:pStyle w:val="6"/>
        <w:spacing w:line="360" w:lineRule="auto"/>
        <w:ind w:firstLine="480" w:firstLineChars="200"/>
        <w:jc w:val="left"/>
        <w:outlineLvl w:val="2"/>
        <w:rPr>
          <w:rFonts w:hint="eastAsia" w:ascii="仿宋" w:hAnsi="仿宋" w:eastAsia="仿宋" w:cs="仿宋"/>
          <w:color w:val="auto"/>
          <w:sz w:val="24"/>
          <w:highlight w:val="none"/>
          <w:u w:val="none"/>
          <w:lang w:val="en-US" w:eastAsia="zh-CN"/>
        </w:rPr>
      </w:pPr>
    </w:p>
    <w:tbl>
      <w:tblPr>
        <w:tblStyle w:val="3"/>
        <w:tblW w:w="463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autofit"/>
        <w:tblCellMar>
          <w:top w:w="0" w:type="dxa"/>
          <w:left w:w="0" w:type="dxa"/>
          <w:bottom w:w="0" w:type="dxa"/>
          <w:right w:w="0" w:type="dxa"/>
        </w:tblCellMar>
      </w:tblPr>
      <w:tblGrid>
        <w:gridCol w:w="853"/>
        <w:gridCol w:w="2783"/>
        <w:gridCol w:w="1859"/>
        <w:gridCol w:w="1142"/>
        <w:gridCol w:w="1292"/>
      </w:tblGrid>
      <w:tr w14:paraId="21F85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0" w:type="dxa"/>
            <w:bottom w:w="0" w:type="dxa"/>
            <w:right w:w="0" w:type="dxa"/>
          </w:tblCellMar>
        </w:tblPrEx>
        <w:trPr>
          <w:trHeight w:val="90" w:hRule="atLeast"/>
          <w:jc w:val="center"/>
        </w:trPr>
        <w:tc>
          <w:tcPr>
            <w:tcW w:w="538"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63FD197C">
            <w:pPr>
              <w:spacing w:line="360" w:lineRule="auto"/>
              <w:ind w:firstLine="0" w:firstLineChars="0"/>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编号</w:t>
            </w:r>
          </w:p>
        </w:tc>
        <w:tc>
          <w:tcPr>
            <w:tcW w:w="1754"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331A0EF1">
            <w:pPr>
              <w:spacing w:line="360" w:lineRule="auto"/>
              <w:ind w:firstLine="0" w:firstLineChars="0"/>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标的名称</w:t>
            </w:r>
          </w:p>
        </w:tc>
        <w:tc>
          <w:tcPr>
            <w:tcW w:w="1172"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740D633F">
            <w:pPr>
              <w:spacing w:line="360" w:lineRule="auto"/>
              <w:ind w:firstLine="0" w:firstLineChars="0"/>
              <w:jc w:val="both"/>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最高单价限价（元）</w:t>
            </w:r>
          </w:p>
        </w:tc>
        <w:tc>
          <w:tcPr>
            <w:tcW w:w="720"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2E061BD4">
            <w:pPr>
              <w:spacing w:line="360" w:lineRule="auto"/>
              <w:ind w:firstLine="0" w:firstLineChars="0"/>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数量</w:t>
            </w:r>
          </w:p>
        </w:tc>
        <w:tc>
          <w:tcPr>
            <w:tcW w:w="814"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46579409">
            <w:pPr>
              <w:spacing w:line="360" w:lineRule="auto"/>
              <w:ind w:firstLine="0" w:firstLineChars="0"/>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计量单位</w:t>
            </w:r>
          </w:p>
        </w:tc>
      </w:tr>
      <w:tr w14:paraId="1D008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538"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4158E0C2">
            <w:pPr>
              <w:keepNext w:val="0"/>
              <w:keepLines w:val="0"/>
              <w:widowControl/>
              <w:suppressLineNumbers w:val="0"/>
              <w:spacing w:line="360" w:lineRule="auto"/>
              <w:ind w:firstLine="0" w:firstLineChars="0"/>
              <w:jc w:val="center"/>
              <w:textAlignment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highlight w:val="none"/>
                <w:u w:val="none"/>
                <w:lang w:val="en-US" w:eastAsia="zh-CN" w:bidi="ar"/>
              </w:rPr>
              <w:t>1</w:t>
            </w:r>
          </w:p>
        </w:tc>
        <w:tc>
          <w:tcPr>
            <w:tcW w:w="1754"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1E60A6DD">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纤丝止血纱配送服务</w:t>
            </w:r>
          </w:p>
        </w:tc>
        <w:tc>
          <w:tcPr>
            <w:tcW w:w="1172"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2B848279">
            <w:pPr>
              <w:keepNext w:val="0"/>
              <w:keepLines w:val="0"/>
              <w:widowControl/>
              <w:suppressLineNumbers w:val="0"/>
              <w:spacing w:line="360" w:lineRule="auto"/>
              <w:ind w:firstLine="0" w:firstLineChars="0"/>
              <w:jc w:val="center"/>
              <w:textAlignment w:val="center"/>
              <w:rPr>
                <w:rFonts w:hint="default" w:ascii="仿宋" w:hAnsi="仿宋" w:eastAsia="仿宋" w:cs="仿宋"/>
                <w:b w:val="0"/>
                <w:bCs w:val="0"/>
                <w:color w:val="auto"/>
                <w:sz w:val="24"/>
                <w:szCs w:val="24"/>
                <w:highlight w:val="none"/>
                <w:shd w:val="clear" w:color="auto" w:fill="auto"/>
                <w:lang w:val="en-US" w:eastAsia="zh-CN"/>
              </w:rPr>
            </w:pPr>
            <w:r>
              <w:rPr>
                <w:rFonts w:hint="default" w:ascii="仿宋" w:hAnsi="仿宋" w:eastAsia="仿宋" w:cs="仿宋"/>
                <w:b w:val="0"/>
                <w:bCs w:val="0"/>
                <w:color w:val="auto"/>
                <w:sz w:val="24"/>
                <w:szCs w:val="24"/>
                <w:highlight w:val="none"/>
                <w:shd w:val="clear" w:color="auto" w:fill="auto"/>
                <w:lang w:val="en-US" w:eastAsia="zh-CN"/>
              </w:rPr>
              <w:t>1242</w:t>
            </w:r>
          </w:p>
        </w:tc>
        <w:tc>
          <w:tcPr>
            <w:tcW w:w="720"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6FABDFE4">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按计划</w:t>
            </w:r>
          </w:p>
        </w:tc>
        <w:tc>
          <w:tcPr>
            <w:tcW w:w="814" w:type="pct"/>
            <w:tcBorders>
              <w:top w:val="single" w:color="333333" w:sz="6" w:space="0"/>
              <w:left w:val="single" w:color="333333" w:sz="6" w:space="0"/>
              <w:bottom w:val="single" w:color="333333" w:sz="6" w:space="0"/>
              <w:right w:val="single" w:color="333333" w:sz="6" w:space="0"/>
            </w:tcBorders>
            <w:shd w:val="clear" w:color="auto" w:fill="FFFFFF" w:themeFill="background1"/>
            <w:noWrap w:val="0"/>
            <w:tcMar>
              <w:top w:w="75" w:type="dxa"/>
              <w:left w:w="120" w:type="dxa"/>
              <w:bottom w:w="75" w:type="dxa"/>
              <w:right w:w="120" w:type="dxa"/>
            </w:tcMar>
            <w:vAlign w:val="center"/>
          </w:tcPr>
          <w:p w14:paraId="4F8BBB39">
            <w:pPr>
              <w:keepNext w:val="0"/>
              <w:keepLines w:val="0"/>
              <w:widowControl/>
              <w:suppressLineNumbers w:val="0"/>
              <w:spacing w:line="360" w:lineRule="auto"/>
              <w:ind w:firstLine="0" w:firstLineChars="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片</w:t>
            </w:r>
          </w:p>
        </w:tc>
      </w:tr>
    </w:tbl>
    <w:p w14:paraId="4760CC3E">
      <w:pPr>
        <w:pStyle w:val="6"/>
        <w:spacing w:line="360" w:lineRule="auto"/>
        <w:ind w:firstLine="480"/>
        <w:jc w:val="left"/>
        <w:rPr>
          <w:rFonts w:hint="eastAsia" w:ascii="仿宋" w:hAnsi="仿宋" w:eastAsia="仿宋" w:cs="仿宋"/>
          <w:sz w:val="24"/>
          <w:szCs w:val="24"/>
        </w:rPr>
      </w:pPr>
      <w:r>
        <w:rPr>
          <w:rFonts w:hint="eastAsia" w:ascii="仿宋" w:hAnsi="仿宋" w:eastAsia="仿宋" w:cs="仿宋"/>
          <w:sz w:val="24"/>
          <w:szCs w:val="24"/>
        </w:rPr>
        <w:t>★注：</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027CF318">
      <w:pPr>
        <w:pStyle w:val="6"/>
        <w:spacing w:line="360" w:lineRule="auto"/>
        <w:jc w:val="left"/>
        <w:outlineLvl w:val="1"/>
        <w:rPr>
          <w:rFonts w:hint="eastAsia" w:ascii="仿宋" w:hAnsi="仿宋" w:eastAsia="仿宋" w:cs="仿宋"/>
          <w:sz w:val="24"/>
          <w:szCs w:val="24"/>
          <w:lang w:eastAsia="zh-CN"/>
        </w:rPr>
      </w:pPr>
      <w:r>
        <w:rPr>
          <w:rFonts w:hint="eastAsia" w:ascii="仿宋" w:hAnsi="仿宋" w:eastAsia="仿宋" w:cs="仿宋"/>
          <w:b/>
          <w:sz w:val="24"/>
          <w:szCs w:val="24"/>
          <w:lang w:eastAsia="zh-CN"/>
        </w:rPr>
        <w:t>二、服务内容及要求</w:t>
      </w:r>
    </w:p>
    <w:tbl>
      <w:tblPr>
        <w:tblStyle w:val="4"/>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280"/>
        <w:gridCol w:w="1882"/>
        <w:gridCol w:w="3068"/>
        <w:gridCol w:w="1806"/>
      </w:tblGrid>
      <w:tr w14:paraId="09B6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25426E6A">
            <w:pPr>
              <w:numPr>
                <w:ilvl w:val="0"/>
                <w:numId w:val="0"/>
              </w:numPr>
              <w:spacing w:line="240" w:lineRule="auto"/>
              <w:jc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bCs/>
                <w:color w:val="auto"/>
                <w:sz w:val="24"/>
                <w:szCs w:val="24"/>
                <w:highlight w:val="none"/>
                <w:shd w:val="clear" w:color="auto" w:fill="auto"/>
                <w:vertAlign w:val="baseline"/>
                <w:lang w:val="en-US" w:eastAsia="zh-CN"/>
              </w:rPr>
              <w:t>编号</w:t>
            </w:r>
          </w:p>
        </w:tc>
        <w:tc>
          <w:tcPr>
            <w:tcW w:w="1280" w:type="dxa"/>
            <w:noWrap w:val="0"/>
            <w:vAlign w:val="center"/>
          </w:tcPr>
          <w:p w14:paraId="497D1FAE">
            <w:pPr>
              <w:numPr>
                <w:ilvl w:val="0"/>
                <w:numId w:val="0"/>
              </w:numPr>
              <w:spacing w:line="240" w:lineRule="auto"/>
              <w:jc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bCs/>
                <w:color w:val="auto"/>
                <w:sz w:val="24"/>
                <w:szCs w:val="24"/>
                <w:highlight w:val="none"/>
                <w:shd w:val="clear" w:color="auto" w:fill="auto"/>
                <w:vertAlign w:val="baseline"/>
                <w:lang w:val="en-US" w:eastAsia="zh-CN"/>
              </w:rPr>
              <w:t>标的名称</w:t>
            </w:r>
          </w:p>
        </w:tc>
        <w:tc>
          <w:tcPr>
            <w:tcW w:w="1882" w:type="dxa"/>
            <w:noWrap w:val="0"/>
            <w:vAlign w:val="center"/>
          </w:tcPr>
          <w:p w14:paraId="63C48951">
            <w:pPr>
              <w:numPr>
                <w:ilvl w:val="0"/>
                <w:numId w:val="0"/>
              </w:numPr>
              <w:tabs>
                <w:tab w:val="left" w:pos="403"/>
              </w:tabs>
              <w:spacing w:line="240" w:lineRule="auto"/>
              <w:jc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bCs/>
                <w:color w:val="auto"/>
                <w:sz w:val="24"/>
                <w:szCs w:val="24"/>
                <w:highlight w:val="none"/>
                <w:shd w:val="clear" w:color="auto" w:fill="auto"/>
                <w:vertAlign w:val="baseline"/>
                <w:lang w:val="en-US" w:eastAsia="zh-CN"/>
              </w:rPr>
              <w:t>★配送医用耗材代码（前11位）</w:t>
            </w:r>
          </w:p>
        </w:tc>
        <w:tc>
          <w:tcPr>
            <w:tcW w:w="3068" w:type="dxa"/>
            <w:noWrap w:val="0"/>
            <w:vAlign w:val="center"/>
          </w:tcPr>
          <w:p w14:paraId="027EF767">
            <w:pPr>
              <w:numPr>
                <w:ilvl w:val="0"/>
                <w:numId w:val="0"/>
              </w:numPr>
              <w:tabs>
                <w:tab w:val="left" w:pos="403"/>
              </w:tabs>
              <w:spacing w:line="240" w:lineRule="auto"/>
              <w:jc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bCs/>
                <w:color w:val="auto"/>
                <w:sz w:val="24"/>
                <w:szCs w:val="24"/>
                <w:highlight w:val="none"/>
                <w:shd w:val="clear" w:color="auto" w:fill="auto"/>
                <w:vertAlign w:val="baseline"/>
                <w:lang w:val="en-US" w:eastAsia="zh-CN"/>
              </w:rPr>
              <w:t>★配送耗材预期用途</w:t>
            </w:r>
          </w:p>
        </w:tc>
        <w:tc>
          <w:tcPr>
            <w:tcW w:w="1806" w:type="dxa"/>
            <w:noWrap w:val="0"/>
            <w:vAlign w:val="center"/>
          </w:tcPr>
          <w:p w14:paraId="2BDA34C3">
            <w:pPr>
              <w:numPr>
                <w:ilvl w:val="0"/>
                <w:numId w:val="0"/>
              </w:numPr>
              <w:spacing w:line="240" w:lineRule="auto"/>
              <w:jc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b/>
                <w:bCs/>
                <w:color w:val="auto"/>
                <w:sz w:val="24"/>
                <w:szCs w:val="24"/>
                <w:highlight w:val="none"/>
                <w:shd w:val="clear" w:color="auto" w:fill="auto"/>
                <w:vertAlign w:val="baseline"/>
                <w:lang w:val="en-US" w:eastAsia="zh-CN"/>
              </w:rPr>
              <w:t>使用科室预期使用的规格、型号</w:t>
            </w:r>
          </w:p>
        </w:tc>
      </w:tr>
      <w:tr w14:paraId="216B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644" w:type="dxa"/>
            <w:noWrap w:val="0"/>
            <w:vAlign w:val="center"/>
          </w:tcPr>
          <w:p w14:paraId="4C0058DE">
            <w:pPr>
              <w:keepNext w:val="0"/>
              <w:keepLines w:val="0"/>
              <w:widowControl/>
              <w:suppressLineNumbers w:val="0"/>
              <w:jc w:val="center"/>
              <w:textAlignment w:val="center"/>
              <w:rPr>
                <w:rFonts w:hint="eastAsia" w:ascii="仿宋" w:hAnsi="仿宋" w:eastAsia="仿宋" w:cs="仿宋"/>
                <w:b/>
                <w:bCs/>
                <w:color w:val="auto"/>
                <w:sz w:val="24"/>
                <w:szCs w:val="24"/>
                <w:highlight w:val="none"/>
                <w:shd w:val="clear" w:color="auto" w:fill="auto"/>
                <w:vertAlign w:val="baseline"/>
                <w:lang w:val="en-US" w:eastAsia="zh-CN"/>
              </w:rPr>
            </w:pPr>
            <w:r>
              <w:rPr>
                <w:rFonts w:hint="eastAsia" w:ascii="仿宋" w:hAnsi="仿宋" w:eastAsia="仿宋" w:cs="仿宋"/>
                <w:i w:val="0"/>
                <w:iCs w:val="0"/>
                <w:color w:val="000000"/>
                <w:kern w:val="0"/>
                <w:sz w:val="24"/>
                <w:szCs w:val="24"/>
                <w:u w:val="none"/>
                <w:lang w:val="en-US" w:eastAsia="zh-CN" w:bidi="ar"/>
              </w:rPr>
              <w:t>1</w:t>
            </w:r>
          </w:p>
        </w:tc>
        <w:tc>
          <w:tcPr>
            <w:tcW w:w="1280" w:type="dxa"/>
            <w:noWrap w:val="0"/>
            <w:vAlign w:val="center"/>
          </w:tcPr>
          <w:p w14:paraId="35E89E49">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纤丝止血纱配送服务</w:t>
            </w:r>
          </w:p>
        </w:tc>
        <w:tc>
          <w:tcPr>
            <w:tcW w:w="1882" w:type="dxa"/>
            <w:noWrap w:val="0"/>
            <w:vAlign w:val="center"/>
          </w:tcPr>
          <w:p w14:paraId="3D84CEE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C15010321201</w:t>
            </w:r>
          </w:p>
        </w:tc>
        <w:tc>
          <w:tcPr>
            <w:tcW w:w="3068" w:type="dxa"/>
            <w:noWrap w:val="0"/>
            <w:vAlign w:val="center"/>
          </w:tcPr>
          <w:p w14:paraId="4C967A7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1.肝胆胰脾外科手术创面和静脉裂孔的止血；</w:t>
            </w:r>
          </w:p>
          <w:p w14:paraId="7CEDFAF0">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2.用于脑部手术渗血创面止血；</w:t>
            </w:r>
          </w:p>
          <w:p w14:paraId="279427F2">
            <w:pPr>
              <w:keepNext w:val="0"/>
              <w:keepLines w:val="0"/>
              <w:widowControl/>
              <w:suppressLineNumbers w:val="0"/>
              <w:jc w:val="left"/>
              <w:textAlignment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i w:val="0"/>
                <w:iCs w:val="0"/>
                <w:color w:val="000000"/>
                <w:kern w:val="0"/>
                <w:sz w:val="24"/>
                <w:szCs w:val="24"/>
                <w:u w:val="none"/>
                <w:lang w:val="en-US" w:eastAsia="zh-CN" w:bidi="ar"/>
              </w:rPr>
              <w:t>3.在外科手术中结扎法或其他常规控制方法不适用或无效时，该产品作为辅助用品控制毛细血管、静脉和小动脉的出血；</w:t>
            </w:r>
          </w:p>
        </w:tc>
        <w:tc>
          <w:tcPr>
            <w:tcW w:w="1806" w:type="dxa"/>
            <w:noWrap w:val="0"/>
            <w:vAlign w:val="center"/>
          </w:tcPr>
          <w:p w14:paraId="747C4850">
            <w:pPr>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5*10cm（±0.5cm）</w:t>
            </w:r>
          </w:p>
        </w:tc>
      </w:tr>
    </w:tbl>
    <w:p w14:paraId="406DA8A6">
      <w:pPr>
        <w:pStyle w:val="6"/>
        <w:spacing w:line="360" w:lineRule="auto"/>
        <w:jc w:val="left"/>
        <w:outlineLvl w:val="2"/>
        <w:rPr>
          <w:rFonts w:hint="eastAsia" w:ascii="仿宋" w:hAnsi="仿宋" w:eastAsia="仿宋" w:cs="仿宋"/>
          <w:b/>
          <w:bCs/>
          <w:sz w:val="24"/>
          <w:szCs w:val="24"/>
        </w:rPr>
      </w:pPr>
    </w:p>
    <w:p w14:paraId="5D2F714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1"/>
        <w:rPr>
          <w:rFonts w:hint="eastAsia" w:ascii="仿宋" w:hAnsi="仿宋" w:eastAsia="仿宋" w:cs="仿宋"/>
          <w:b/>
          <w:sz w:val="24"/>
          <w:szCs w:val="24"/>
          <w:lang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ascii="仿宋" w:hAnsi="仿宋" w:eastAsia="仿宋" w:cs="仿宋"/>
          <w:b/>
          <w:sz w:val="24"/>
          <w:szCs w:val="24"/>
          <w:lang w:eastAsia="zh-CN"/>
        </w:rPr>
        <w:t>三、挂网需求</w:t>
      </w:r>
    </w:p>
    <w:p w14:paraId="0BA866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1.本项目所有标的均须提供挂网产品。</w:t>
      </w:r>
    </w:p>
    <w:p w14:paraId="24DBBF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b/>
          <w:sz w:val="24"/>
          <w:szCs w:val="24"/>
          <w:lang w:val="en-US" w:eastAsia="zh-CN"/>
        </w:rPr>
      </w:pPr>
      <w:r>
        <w:rPr>
          <w:rFonts w:hint="eastAsia" w:ascii="仿宋" w:hAnsi="仿宋" w:eastAsia="仿宋" w:cs="仿宋"/>
          <w:b w:val="0"/>
          <w:bCs/>
          <w:sz w:val="24"/>
          <w:szCs w:val="24"/>
          <w:lang w:val="en-US" w:eastAsia="zh-CN"/>
        </w:rPr>
        <w:t>注：本项目中所指“挂网产品”，为“四川省药品和医用耗材招采管理系统”中已挂网产品（不含正在挂网和备案的产品）。</w:t>
      </w:r>
    </w:p>
    <w:p w14:paraId="3FD6326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1"/>
        <w:rPr>
          <w:rFonts w:hint="eastAsia" w:ascii="仿宋" w:hAnsi="仿宋" w:eastAsia="仿宋" w:cs="仿宋"/>
          <w:b/>
          <w:sz w:val="24"/>
          <w:szCs w:val="24"/>
          <w:lang w:val="en-US" w:eastAsia="zh-CN"/>
        </w:rPr>
      </w:pPr>
      <w:r>
        <w:rPr>
          <w:rFonts w:hint="eastAsia" w:ascii="Times New Roman" w:hAnsi="Times New Roman" w:eastAsia="仿宋" w:cs="Times New Roman"/>
          <w:b/>
          <w:bCs/>
          <w:color w:val="auto"/>
          <w:sz w:val="24"/>
          <w:szCs w:val="24"/>
          <w:highlight w:val="none"/>
          <w:shd w:val="clear" w:color="auto" w:fill="auto"/>
          <w:lang w:val="en-US" w:eastAsia="zh-CN"/>
        </w:rPr>
        <w:t>★</w:t>
      </w:r>
      <w:r>
        <w:rPr>
          <w:rFonts w:hint="eastAsia" w:ascii="仿宋" w:hAnsi="仿宋" w:eastAsia="仿宋" w:cs="仿宋"/>
          <w:b/>
          <w:sz w:val="24"/>
          <w:szCs w:val="24"/>
          <w:lang w:eastAsia="zh-CN"/>
        </w:rPr>
        <w:t>四、样品要求</w:t>
      </w:r>
    </w:p>
    <w:p w14:paraId="695CED9D">
      <w:pPr>
        <w:spacing w:line="360"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1.必须提供样品，以供评审专家现场评审。</w:t>
      </w:r>
    </w:p>
    <w:p w14:paraId="279DE770">
      <w:pPr>
        <w:spacing w:line="360"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2.提交的样品不符合实际需求或存在原理错误则视为无效响应。</w:t>
      </w:r>
    </w:p>
    <w:p w14:paraId="11F9B5FC">
      <w:pPr>
        <w:spacing w:line="360"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3.本项目投标人提供的样品，应与该投标人响应文件保持一致（具体参考《医疗器械说明书和标签管理规定》）。</w:t>
      </w:r>
    </w:p>
    <w:p w14:paraId="79EAB77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outlineLvl w:val="1"/>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★五、商务要求：</w:t>
      </w:r>
    </w:p>
    <w:p w14:paraId="36A34F5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w:t>
      </w:r>
      <w:r>
        <w:rPr>
          <w:rFonts w:hint="eastAsia" w:ascii="楷体" w:hAnsi="楷体" w:eastAsia="楷体" w:cs="楷体"/>
          <w:b/>
          <w:bCs/>
          <w:color w:val="auto"/>
          <w:sz w:val="24"/>
          <w:szCs w:val="24"/>
          <w:highlight w:val="none"/>
          <w:shd w:val="clear" w:color="auto" w:fill="auto"/>
          <w:lang w:val="en-US" w:eastAsia="zh-CN"/>
        </w:rPr>
        <w:t>服务期限及地点</w:t>
      </w:r>
    </w:p>
    <w:p w14:paraId="5379F33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（1）①服务期限：</w:t>
      </w:r>
      <w:r>
        <w:rPr>
          <w:rFonts w:hint="eastAsia" w:ascii="Times New Roman" w:hAnsi="Times New Roman" w:eastAsia="仿宋" w:cs="Times New Roman"/>
          <w:color w:val="auto"/>
          <w:sz w:val="24"/>
          <w:highlight w:val="none"/>
          <w:u w:val="single"/>
          <w:shd w:val="clear" w:color="auto" w:fill="auto"/>
          <w:lang w:val="en-US" w:eastAsia="zh-CN"/>
        </w:rPr>
        <w:t>配送服务期2年</w:t>
      </w:r>
      <w:r>
        <w:rPr>
          <w:rFonts w:hint="eastAsia" w:eastAsia="仿宋" w:cs="Times New Roman"/>
          <w:color w:val="auto"/>
          <w:sz w:val="24"/>
          <w:highlight w:val="none"/>
          <w:u w:val="single"/>
          <w:shd w:val="clear" w:color="auto" w:fill="auto"/>
          <w:lang w:val="en-US" w:eastAsia="zh-CN"/>
        </w:rPr>
        <w:t>。</w:t>
      </w:r>
    </w:p>
    <w:p w14:paraId="61B3BF0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②每次配送时间必须严格按照采购人配送通知执行，中选人应于收到通知后2小时内响应。急用产品的配送时间不应超过4小时，一般产品原则上的配送时间不应超过2个工作日。</w:t>
      </w:r>
    </w:p>
    <w:p w14:paraId="5A49EC2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sz w:val="24"/>
          <w:szCs w:val="24"/>
          <w:lang w:val="en-US" w:eastAsia="zh-CN"/>
        </w:rPr>
      </w:pPr>
      <w:r>
        <w:rPr>
          <w:rFonts w:hint="eastAsia" w:ascii="仿宋" w:hAnsi="仿宋" w:eastAsia="仿宋" w:cs="仿宋"/>
          <w:color w:val="000000"/>
          <w:sz w:val="24"/>
          <w:szCs w:val="24"/>
          <w:lang w:val="en-US" w:eastAsia="zh-CN"/>
        </w:rPr>
        <w:t>（2）服务地点：内江市第一人民医院指定地点。</w:t>
      </w:r>
    </w:p>
    <w:p w14:paraId="1160290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2.付款方法和条件</w:t>
      </w:r>
    </w:p>
    <w:p w14:paraId="1C25F8B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（1）结算方式：据实结算且由双方协商决定。</w:t>
      </w:r>
    </w:p>
    <w:p w14:paraId="6AD6DCB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（2）成交价格包含成本、运输、包装、培训、配送、伴随服务、税费及其他附加费用。</w:t>
      </w:r>
    </w:p>
    <w:p w14:paraId="022ED50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3.验收、交付标准和方法</w:t>
      </w:r>
    </w:p>
    <w:p w14:paraId="132DBCA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按照《财政部关于进一步加强政府采购需求和履约验收管理的指导意见》（财库〔2016〕205号）的要求以及采购人招标文件的质量要求和技术指标、中选人的投标文件及承诺（若有）、国家（行业）标准、采购合同约定标准进行验收；</w:t>
      </w:r>
    </w:p>
    <w:p w14:paraId="75BB557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选人承担，验收期限相应顺延；</w:t>
      </w:r>
    </w:p>
    <w:p w14:paraId="424FCCD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若所配送货物不符合验收标准，中选人经过2次维修或2次调换后仍不能达到验收质量标准，则视为验收不合格，采购人有权全部（或部分）退货或解除合同。接到采购人退货通知，中选人除应及时运走采购人退还的货物外（若涉及费用或损失均由中选人自行承担），还应向采购人承担相应的违约责任。</w:t>
      </w:r>
    </w:p>
    <w:p w14:paraId="1149560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（4）其他未尽事宜严格按照《财政部关于进一步加强政府采购需求和履约验收管理的指导意见》（财库〔2016〕205号）的要求进行。</w:t>
      </w:r>
    </w:p>
    <w:p w14:paraId="1C6BF40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4.售后服务</w:t>
      </w:r>
    </w:p>
    <w:p w14:paraId="08C90F5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要求中选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18BC4E0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（2）要求中选人指派专人负责与采购人联系售后服务事宜；在投标文件中列明售后联系人及联系电话。</w:t>
      </w:r>
    </w:p>
    <w:p w14:paraId="1A6F6D7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要求中选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2257B3C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（4）耗材临近失效期，采购人提前三个月向中选人提出更换，中选人须在耗材失效前一个月更换完毕，不得以任何理由进行推诿。</w:t>
      </w:r>
    </w:p>
    <w:p w14:paraId="1E742A0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（5）中选人必须随货提供其具备医疗器械经营企业的有关合法有效的手续（包括但不限于）：</w:t>
      </w:r>
    </w:p>
    <w:p w14:paraId="6A197EA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①产品所涉及逐级授权经销商的医疗器械生产（经营）许可证或生产（经营）企业备案表；</w:t>
      </w:r>
    </w:p>
    <w:p w14:paraId="0E09348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②医疗器械产品注册证或备案凭证；</w:t>
      </w:r>
    </w:p>
    <w:p w14:paraId="1B4077F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③医疗器械生产企业许可证；</w:t>
      </w:r>
    </w:p>
    <w:p w14:paraId="496B253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④经销商获得的委托授权书（逐级）；</w:t>
      </w:r>
    </w:p>
    <w:p w14:paraId="429A36E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⑤产品所涉及逐级授权经销商的企业法人营业执照。</w:t>
      </w:r>
    </w:p>
    <w:p w14:paraId="7A01BF5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⑥采购人要求提供的相关资料。</w:t>
      </w:r>
    </w:p>
    <w:p w14:paraId="6E77A5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双方商议后，若因中选人或厂家原因无法按上述要求执行的，则采购人可以部分解除采购合同。</w:t>
      </w:r>
    </w:p>
    <w:p w14:paraId="5F0282A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5.配送医用耗材质量保证</w:t>
      </w:r>
    </w:p>
    <w:p w14:paraId="50619A6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（1）中选人须提供原厂生产的未曾使用过的、全新的合格的货品（含配套配件等），表面无划伤、无破损痕迹，且权属清楚，不得侵害他人的合法权利。</w:t>
      </w:r>
    </w:p>
    <w:p w14:paraId="7371A2E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中选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7E9E105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（3）中选人提供货品的设计技术专利、外形专利等均应符合我国有关法律法规及行业标准，凡因以上问题与第三方发生的任何纠纷，由中标人承担全部责任，中标人还应负责赔偿采购人由此而遭受的全部损失。</w:t>
      </w:r>
    </w:p>
    <w:p w14:paraId="7A110E2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（4）中选人保证其配送货品的安全可靠性。在正常使用下不应对使用者造成任何人身伤害，如因产品质量或标示不明确而对使用者造成损失的，由中选人承担相应责任。</w:t>
      </w:r>
    </w:p>
    <w:p w14:paraId="5BA1C8E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中选人应保证所供耗材原产地真实，医用耗材是全新的、未使用过的，质量符合国家标准（在无国家标准时，符合行业标准），不得以假充真，以次充好，确保临床医疗安全。如出现质量问题，中选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24EC300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（6）中选人保证所供耗材有效期不低于1年，自通过最终验收之日起，确保采购人在使用耗材的过程中安全、有效。</w:t>
      </w:r>
    </w:p>
    <w:p w14:paraId="35B994D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 xml:space="preserve">6.包装和运输 </w:t>
      </w:r>
    </w:p>
    <w:p w14:paraId="13E7BDA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（1）中选人须严格按照《商品包装政府采购需求标准(试行)》、《快递包装政府采购需求标准(试行)》(财办库〔2020〕123 号)的要求进行产品及相关快递服务的包装。 </w:t>
      </w:r>
    </w:p>
    <w:p w14:paraId="0F2C46F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（2）中选人应当按照约定的方式交付标的物。对于包装方式没有约定或者约定不明确的，应当按照通用的方式包装；没有通用方式的，应当采取足以保护标的物且有利于节约资源，保护生态环境的包装方式。 </w:t>
      </w:r>
    </w:p>
    <w:p w14:paraId="22A0BC1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（3）本次采购的标的物需要运输，中选人在合同约定的时间内将标的物运输至合同约定地点。</w:t>
      </w:r>
    </w:p>
    <w:p w14:paraId="0951D33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六、合同管理</w:t>
      </w:r>
    </w:p>
    <w:p w14:paraId="3EE482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lang w:val="en-US" w:eastAsia="zh-CN"/>
        </w:rPr>
        <w:t>1、</w:t>
      </w:r>
      <w:r>
        <w:rPr>
          <w:rFonts w:hint="eastAsia" w:ascii="仿宋" w:hAnsi="仿宋" w:eastAsia="仿宋" w:cs="仿宋"/>
          <w:color w:val="auto"/>
          <w:sz w:val="24"/>
          <w:szCs w:val="24"/>
          <w:highlight w:val="none"/>
          <w:shd w:val="clear" w:color="auto" w:fill="auto"/>
          <w:lang w:eastAsia="zh-CN"/>
        </w:rPr>
        <w:t>是否为据实结算：☑是□</w:t>
      </w:r>
      <w:r>
        <w:rPr>
          <w:rFonts w:hint="eastAsia" w:ascii="仿宋" w:hAnsi="仿宋" w:eastAsia="仿宋" w:cs="仿宋"/>
          <w:color w:val="auto"/>
          <w:sz w:val="24"/>
          <w:szCs w:val="24"/>
          <w:highlight w:val="none"/>
          <w:shd w:val="clear" w:color="auto" w:fill="auto"/>
        </w:rPr>
        <w:t>否</w:t>
      </w:r>
    </w:p>
    <w:p w14:paraId="3A885CA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合同履行期限：</w:t>
      </w:r>
      <w:r>
        <w:rPr>
          <w:rFonts w:hint="eastAsia" w:ascii="仿宋" w:hAnsi="仿宋" w:eastAsia="仿宋" w:cs="仿宋"/>
          <w:color w:val="auto"/>
          <w:sz w:val="24"/>
          <w:szCs w:val="24"/>
          <w:highlight w:val="none"/>
          <w:shd w:val="clear" w:color="auto" w:fill="auto"/>
          <w:lang w:val="en-US" w:eastAsia="zh-CN"/>
        </w:rPr>
        <w:t>2年。</w:t>
      </w:r>
    </w:p>
    <w:p w14:paraId="3BF6D2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合同支付约定：</w:t>
      </w:r>
      <w:r>
        <w:rPr>
          <w:rFonts w:hint="eastAsia" w:ascii="仿宋" w:hAnsi="仿宋" w:eastAsia="仿宋" w:cs="仿宋"/>
          <w:color w:val="auto"/>
          <w:sz w:val="24"/>
          <w:szCs w:val="24"/>
          <w:highlight w:val="none"/>
          <w:u w:val="none"/>
          <w:shd w:val="clear" w:color="auto" w:fill="auto"/>
          <w:lang w:val="en-US" w:eastAsia="zh-CN"/>
        </w:rPr>
        <w:t>双方协商确定</w:t>
      </w:r>
    </w:p>
    <w:p w14:paraId="1FB96DB1">
      <w:pPr>
        <w:keepNext w:val="0"/>
        <w:keepLines w:val="0"/>
        <w:pageBreakBefore w:val="0"/>
        <w:widowControl w:val="0"/>
        <w:kinsoku/>
        <w:wordWrap/>
        <w:overflowPunct/>
        <w:topLinePunct w:val="0"/>
        <w:autoSpaceDE/>
        <w:autoSpaceDN/>
        <w:bidi w:val="0"/>
        <w:adjustRightInd/>
        <w:snapToGrid/>
        <w:spacing w:line="360" w:lineRule="auto"/>
        <w:ind w:firstLine="420" w:firstLineChars="0"/>
        <w:jc w:val="left"/>
        <w:textAlignment w:val="auto"/>
        <w:rPr>
          <w:rFonts w:hint="eastAsia" w:ascii="仿宋" w:hAnsi="仿宋" w:eastAsia="仿宋" w:cs="仿宋"/>
          <w:b w:val="0"/>
          <w:bCs w:val="0"/>
          <w:color w:val="000000"/>
          <w:sz w:val="24"/>
          <w:szCs w:val="24"/>
          <w:shd w:val="clear"/>
        </w:rPr>
      </w:pPr>
      <w:r>
        <w:rPr>
          <w:rFonts w:hint="eastAsia" w:ascii="仿宋" w:hAnsi="仿宋" w:eastAsia="仿宋" w:cs="仿宋"/>
          <w:b w:val="0"/>
          <w:bCs w:val="0"/>
          <w:color w:val="000000"/>
          <w:sz w:val="24"/>
          <w:szCs w:val="24"/>
          <w:shd w:val="clear"/>
          <w:lang w:val="en-US" w:eastAsia="zh-CN"/>
        </w:rPr>
        <w:t>4、</w:t>
      </w:r>
      <w:r>
        <w:rPr>
          <w:rFonts w:hint="eastAsia" w:ascii="仿宋" w:hAnsi="仿宋" w:eastAsia="仿宋" w:cs="仿宋"/>
          <w:b w:val="0"/>
          <w:bCs w:val="0"/>
          <w:color w:val="000000"/>
          <w:sz w:val="24"/>
          <w:szCs w:val="24"/>
          <w:shd w:val="clear"/>
        </w:rPr>
        <w:t>违约责任与解决争议的方法：</w:t>
      </w:r>
    </w:p>
    <w:p w14:paraId="37BA16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4.1</w:t>
      </w:r>
      <w:r>
        <w:rPr>
          <w:rFonts w:hint="eastAsia" w:ascii="仿宋" w:hAnsi="仿宋" w:eastAsia="仿宋" w:cs="仿宋"/>
          <w:color w:val="auto"/>
          <w:sz w:val="24"/>
          <w:szCs w:val="24"/>
          <w:highlight w:val="none"/>
          <w:shd w:val="clear" w:color="auto" w:fill="auto"/>
        </w:rPr>
        <w:t>违约责任</w:t>
      </w:r>
    </w:p>
    <w:p w14:paraId="792207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（1）中选人逾期15日内不能配送采购人所需医用耗材的，应向采购人每日支付该批次货款千分之三的违约金。</w:t>
      </w:r>
    </w:p>
    <w:p w14:paraId="3FE803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（2）中选人逾期15日及以上不能配送以上产品的，视同不能供货，须向采购人支付该批次货款的10%的违约金，同时采购人可以单方面解除采购合同。</w:t>
      </w:r>
    </w:p>
    <w:p w14:paraId="6186D0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（3）若因中选人原因造成采购人被监管部门通报三次及以上的或者造成采购人违规采购，采购人有权单方面解除采购合同。同时，采购人有权要求中选人支付该批货物价款20%的违约金。</w:t>
      </w:r>
    </w:p>
    <w:p w14:paraId="2326C9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4）中选人销售的产品若发生严重医疗不良事件或被国家法定检测机构检测为不合格产品，视为中选人违约导致不能实现采购合同目的，采购人有权单方面解除采购合同，并要求中选人限期收回不合格产品，并要求中选人需承担合同价款20%的违约金，违约金不足以弥补采购人损失的，中选人还应当补足。即使产品已经验收入库（或安装调试完毕）后，采购人才发现产品为不合格产品的，也视为中选人违约，中选人应当承担本条约定的责任。同时采购人有权退回库存产品。</w:t>
      </w:r>
    </w:p>
    <w:p w14:paraId="320865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（5）若根据法律规定或本协议约定产生采购人退、换货或拒绝收货情形，由中选人承担退换货产生的各项税、费或其他支出。</w:t>
      </w:r>
    </w:p>
    <w:p w14:paraId="5738E8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（6）中选人不能保证及时供货，除应当向采购人承担违约责任外，采购人仍有权单方面解除采购合同。</w:t>
      </w:r>
    </w:p>
    <w:p w14:paraId="6CB493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（7）因中选人配送的产品不合格造成采购人或第三人人身损害或财产损失的，由中选人承担赔偿责任。</w:t>
      </w:r>
    </w:p>
    <w:p w14:paraId="67F627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val="en-US" w:eastAsia="zh-CN" w:bidi="zh-CN"/>
        </w:rPr>
      </w:pPr>
      <w:r>
        <w:rPr>
          <w:rFonts w:hint="eastAsia" w:ascii="仿宋" w:hAnsi="仿宋" w:eastAsia="仿宋" w:cs="仿宋"/>
          <w:color w:val="000000"/>
          <w:kern w:val="0"/>
          <w:sz w:val="24"/>
          <w:szCs w:val="24"/>
          <w:highlight w:val="none"/>
          <w:shd w:val="clear" w:color="auto" w:fill="auto"/>
          <w:lang w:val="en-US" w:eastAsia="zh-CN" w:bidi="zh-CN"/>
        </w:rPr>
        <w:t>（8）若因中选人原因造成采购人挂网执行存在问题以及线上支付不及时、造成采购人未挂网采购的或者存在其他问题的，中选人应承担违约责任，且采购人有权要求中选人支付该批货物价款20%的违约金，采购人有权单方面解除合同。</w:t>
      </w:r>
    </w:p>
    <w:p w14:paraId="16D623C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eastAsia="zh-CN"/>
        </w:rPr>
      </w:pPr>
      <w:r>
        <w:rPr>
          <w:rFonts w:hint="eastAsia" w:ascii="仿宋" w:hAnsi="仿宋" w:eastAsia="仿宋" w:cs="仿宋"/>
          <w:color w:val="auto"/>
          <w:sz w:val="24"/>
          <w:szCs w:val="24"/>
          <w:highlight w:val="none"/>
          <w:shd w:val="clear" w:color="auto" w:fill="auto"/>
          <w:lang w:val="en-US" w:eastAsia="zh-CN"/>
        </w:rPr>
        <w:t>4.2</w:t>
      </w:r>
      <w:r>
        <w:rPr>
          <w:rFonts w:hint="eastAsia" w:ascii="仿宋" w:hAnsi="仿宋" w:eastAsia="仿宋" w:cs="仿宋"/>
          <w:color w:val="auto"/>
          <w:sz w:val="24"/>
          <w:szCs w:val="24"/>
          <w:highlight w:val="none"/>
          <w:shd w:val="clear" w:color="auto" w:fill="auto"/>
        </w:rPr>
        <w:t>解决合同纠纷的方式</w:t>
      </w:r>
      <w:r>
        <w:rPr>
          <w:rFonts w:hint="eastAsia" w:ascii="仿宋" w:hAnsi="仿宋" w:eastAsia="仿宋" w:cs="仿宋"/>
          <w:color w:val="auto"/>
          <w:sz w:val="24"/>
          <w:szCs w:val="24"/>
          <w:highlight w:val="none"/>
          <w:shd w:val="clear" w:color="auto" w:fill="auto"/>
          <w:lang w:eastAsia="zh-CN"/>
        </w:rPr>
        <w:t>：</w:t>
      </w:r>
    </w:p>
    <w:p w14:paraId="2EDD48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jc w:val="left"/>
        <w:textAlignment w:val="auto"/>
        <w:rPr>
          <w:rFonts w:hint="eastAsia" w:ascii="仿宋" w:hAnsi="仿宋" w:eastAsia="仿宋" w:cs="仿宋"/>
          <w:color w:val="000000"/>
          <w:kern w:val="0"/>
          <w:sz w:val="24"/>
          <w:szCs w:val="24"/>
          <w:highlight w:val="none"/>
          <w:shd w:val="clear" w:color="auto" w:fill="auto"/>
          <w:lang w:bidi="zh-CN"/>
        </w:rPr>
      </w:pP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val="en-US" w:bidi="zh-CN"/>
        </w:rPr>
        <w:t>1</w:t>
      </w:r>
      <w:r>
        <w:rPr>
          <w:rFonts w:hint="eastAsia" w:ascii="仿宋" w:hAnsi="仿宋" w:eastAsia="仿宋" w:cs="仿宋"/>
          <w:color w:val="000000"/>
          <w:kern w:val="0"/>
          <w:sz w:val="24"/>
          <w:szCs w:val="24"/>
          <w:highlight w:val="none"/>
          <w:shd w:val="clear" w:color="auto" w:fill="auto"/>
          <w:lang w:bidi="zh-CN"/>
        </w:rPr>
        <w:t>）因货物的质量问题发生的争议，由法定质量鉴定机构或其认可的质量鉴定机构进行质量鉴定。货物符合标准的，鉴定费由采购人承担；货物不符合质量标准的，鉴定费由中选人承担。</w:t>
      </w:r>
    </w:p>
    <w:p w14:paraId="2D1CFE37">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000000"/>
          <w:kern w:val="0"/>
          <w:sz w:val="24"/>
          <w:szCs w:val="24"/>
          <w:highlight w:val="none"/>
          <w:shd w:val="clear" w:color="auto" w:fill="auto"/>
          <w:lang w:bidi="zh-CN"/>
        </w:rPr>
        <w:t>（</w:t>
      </w:r>
      <w:r>
        <w:rPr>
          <w:rFonts w:hint="eastAsia" w:ascii="仿宋" w:hAnsi="仿宋" w:eastAsia="仿宋" w:cs="仿宋"/>
          <w:color w:val="000000"/>
          <w:kern w:val="0"/>
          <w:sz w:val="24"/>
          <w:szCs w:val="24"/>
          <w:highlight w:val="none"/>
          <w:shd w:val="clear" w:color="auto" w:fill="auto"/>
          <w:lang w:val="en-US" w:bidi="zh-CN"/>
        </w:rPr>
        <w:t>2</w:t>
      </w:r>
      <w:r>
        <w:rPr>
          <w:rFonts w:hint="eastAsia" w:ascii="仿宋" w:hAnsi="仿宋" w:eastAsia="仿宋" w:cs="仿宋"/>
          <w:color w:val="000000"/>
          <w:kern w:val="0"/>
          <w:sz w:val="24"/>
          <w:szCs w:val="24"/>
          <w:highlight w:val="none"/>
          <w:shd w:val="clear" w:color="auto" w:fill="auto"/>
          <w:lang w:bidi="zh-CN"/>
        </w:rPr>
        <w:t>）合同履行期间，若双方发生争议，可协商或由有关部门调解解决，协商或调解不成的，可向采购人所在地人民法院依法提起诉讼。</w:t>
      </w:r>
    </w:p>
    <w:p w14:paraId="786DF25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七、</w:t>
      </w:r>
      <w:r>
        <w:rPr>
          <w:rFonts w:hint="eastAsia" w:ascii="仿宋" w:hAnsi="仿宋" w:eastAsia="仿宋" w:cs="仿宋"/>
          <w:b/>
          <w:bCs/>
          <w:color w:val="auto"/>
          <w:kern w:val="2"/>
          <w:sz w:val="24"/>
          <w:szCs w:val="24"/>
          <w:highlight w:val="none"/>
          <w:shd w:val="clear" w:color="auto" w:fill="auto"/>
          <w:lang w:val="en-US" w:eastAsia="zh-CN" w:bidi="ar-SA"/>
        </w:rPr>
        <w:t>履约验收方案</w:t>
      </w:r>
    </w:p>
    <w:p w14:paraId="76D57B88">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rPr>
        <w:t>履约验收程序</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u w:val="none"/>
          <w:shd w:val="clear" w:color="auto" w:fill="auto"/>
          <w:lang w:val="en-US" w:eastAsia="zh-CN"/>
        </w:rPr>
        <w:t>分批次验收。</w:t>
      </w:r>
    </w:p>
    <w:p w14:paraId="1A8038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履约验收时间：</w:t>
      </w:r>
      <w:r>
        <w:rPr>
          <w:rFonts w:hint="eastAsia" w:ascii="仿宋" w:hAnsi="仿宋" w:eastAsia="仿宋" w:cs="仿宋"/>
          <w:color w:val="auto"/>
          <w:sz w:val="24"/>
          <w:szCs w:val="24"/>
          <w:highlight w:val="none"/>
          <w:u w:val="none"/>
          <w:shd w:val="clear" w:color="auto" w:fill="auto"/>
          <w:lang w:val="en-US" w:eastAsia="zh-CN"/>
        </w:rPr>
        <w:t>合同期限内，根据采购人要求分批次送货，完成送货、验收入库视为验收完成。</w:t>
      </w:r>
    </w:p>
    <w:p w14:paraId="79AC1D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验收组织的其他事项：</w:t>
      </w:r>
      <w:r>
        <w:rPr>
          <w:rFonts w:hint="eastAsia" w:ascii="仿宋" w:hAnsi="仿宋" w:eastAsia="仿宋" w:cs="仿宋"/>
          <w:color w:val="000000"/>
          <w:sz w:val="24"/>
          <w:szCs w:val="24"/>
          <w:u w:val="none"/>
          <w:lang w:val="en-US" w:eastAsia="zh-CN"/>
        </w:rPr>
        <w:t>无。</w:t>
      </w:r>
    </w:p>
    <w:p w14:paraId="60870B7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rPr>
        <w:t>技术履约验收内容：</w:t>
      </w:r>
      <w:r>
        <w:rPr>
          <w:rFonts w:hint="eastAsia" w:ascii="仿宋" w:hAnsi="仿宋" w:eastAsia="仿宋" w:cs="仿宋"/>
          <w:color w:val="auto"/>
          <w:sz w:val="24"/>
          <w:szCs w:val="24"/>
          <w:highlight w:val="none"/>
          <w:u w:val="none"/>
          <w:shd w:val="clear" w:color="auto" w:fill="auto"/>
          <w:lang w:val="en-US" w:eastAsia="zh-CN"/>
        </w:rPr>
        <w:t>采购人按照本项目技术要求进行验收。</w:t>
      </w:r>
    </w:p>
    <w:p w14:paraId="17C34D7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u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rPr>
        <w:t>商务履约验收内容：</w:t>
      </w:r>
      <w:r>
        <w:rPr>
          <w:rFonts w:hint="eastAsia" w:ascii="仿宋" w:hAnsi="仿宋" w:eastAsia="仿宋" w:cs="仿宋"/>
          <w:color w:val="auto"/>
          <w:sz w:val="24"/>
          <w:szCs w:val="24"/>
          <w:highlight w:val="none"/>
          <w:u w:val="none"/>
          <w:shd w:val="clear" w:color="auto" w:fill="auto"/>
          <w:lang w:val="en-US" w:eastAsia="zh-CN"/>
        </w:rPr>
        <w:t>采购人按照本项目商务要求进行验收。</w:t>
      </w:r>
    </w:p>
    <w:p w14:paraId="1D408C0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sz w:val="24"/>
          <w:szCs w:val="24"/>
          <w:lang w:eastAsia="zh-CN"/>
        </w:rPr>
      </w:pP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履约收标准：</w:t>
      </w:r>
      <w:r>
        <w:rPr>
          <w:rFonts w:hint="eastAsia" w:ascii="仿宋" w:hAnsi="仿宋" w:eastAsia="仿宋" w:cs="仿宋"/>
          <w:color w:val="auto"/>
          <w:sz w:val="24"/>
          <w:szCs w:val="24"/>
          <w:highlight w:val="none"/>
          <w:u w:val="none"/>
          <w:shd w:val="clear" w:color="auto" w:fill="auto"/>
          <w:lang w:val="en-US" w:eastAsia="zh-CN"/>
        </w:rPr>
        <w:t>采购人按照本项目合同要求进行验收。</w:t>
      </w:r>
    </w:p>
    <w:p w14:paraId="34B6EC86">
      <w:pPr>
        <w:bidi w:val="0"/>
        <w:ind w:firstLine="482" w:firstLineChars="200"/>
        <w:rPr>
          <w:rFonts w:hint="eastAsia" w:ascii="仿宋" w:hAnsi="仿宋" w:eastAsia="仿宋" w:cs="仿宋"/>
          <w:b/>
          <w:bCs/>
          <w:sz w:val="24"/>
          <w:lang w:val="en-US" w:eastAsia="zh-CN"/>
        </w:rPr>
      </w:pPr>
      <w:r>
        <w:rPr>
          <w:rFonts w:hint="eastAsia" w:ascii="仿宋" w:hAnsi="仿宋" w:eastAsia="仿宋" w:cs="仿宋"/>
          <w:b/>
          <w:bCs/>
          <w:sz w:val="24"/>
          <w:lang w:val="en-US" w:eastAsia="zh-CN"/>
        </w:rPr>
        <w:t>注：</w:t>
      </w:r>
      <w:r>
        <w:rPr>
          <w:rFonts w:hint="eastAsia" w:ascii="仿宋" w:hAnsi="仿宋" w:eastAsia="仿宋" w:cs="仿宋"/>
          <w:b/>
          <w:bCs/>
          <w:kern w:val="0"/>
          <w:sz w:val="24"/>
          <w:szCs w:val="24"/>
          <w:lang w:val="zh-CN" w:bidi="zh-CN"/>
        </w:rPr>
        <w:t>★</w:t>
      </w:r>
      <w:r>
        <w:rPr>
          <w:rFonts w:hint="eastAsia" w:ascii="仿宋" w:hAnsi="仿宋" w:eastAsia="仿宋" w:cs="仿宋"/>
          <w:b/>
          <w:bCs/>
          <w:kern w:val="0"/>
          <w:sz w:val="24"/>
          <w:szCs w:val="24"/>
          <w:lang w:val="en-US" w:bidi="zh-CN"/>
        </w:rPr>
        <w:t>条款为本项目实质性要求，不满足视为无效响应。</w:t>
      </w:r>
    </w:p>
    <w:p w14:paraId="2A105D04">
      <w:pPr>
        <w:pStyle w:val="6"/>
        <w:ind w:firstLine="400" w:firstLineChars="200"/>
        <w:jc w:val="left"/>
        <w:rPr>
          <w:rFonts w:hint="eastAsia" w:ascii="仿宋" w:hAnsi="仿宋" w:eastAsia="仿宋" w:cs="仿宋"/>
        </w:rPr>
      </w:pPr>
    </w:p>
    <w:p w14:paraId="39B8FC87">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632DA0"/>
    <w:rsid w:val="18616AAD"/>
    <w:rsid w:val="3D736378"/>
    <w:rsid w:val="59270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3748</Words>
  <Characters>3813</Characters>
  <Lines>0</Lines>
  <Paragraphs>0</Paragraphs>
  <TotalTime>0</TotalTime>
  <ScaleCrop>false</ScaleCrop>
  <LinksUpToDate>false</LinksUpToDate>
  <CharactersWithSpaces>3819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2025-08-13T00:47:00Z</dcterms:created>
  <dc:creator>Administrator</dc:creator>
  <cp:lastModifiedBy>四川知行招标</cp:lastModifiedBy>
  <dcterms:modified xsi:type="dcterms:W3CDTF">2025-09-01T09:20:11Z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120750298B304F25A6A2FC324DD9F423_12</vt:lpwstr>
  </property>
  <property fmtid="{D5CDD505-2E9C-101B-9397-08002B2CF9AE}" pid="4" name="KSOTemplateDocerSaveRecord">
    <vt:lpwstr>eyJoZGlkIjoiOGFjNzU4MmRhNzUzYzUzYTJjN2FmYTg2NmQ5Y2Y0ZTAiLCJ1c2VySWQiOiIyNTQ2NjM5MDgifQ==</vt:lpwstr>
  </property>
</Properties>
</file>