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81B1E">
      <w:pPr>
        <w:pStyle w:val="6"/>
        <w:jc w:val="center"/>
        <w:outlineLvl w:val="0"/>
        <w:rPr>
          <w:rFonts w:hint="eastAsia" w:ascii="仿宋" w:hAnsi="仿宋" w:eastAsia="仿宋" w:cs="仿宋"/>
          <w:highlight w:val="none"/>
        </w:rPr>
      </w:pPr>
      <w:bookmarkStart w:id="0" w:name="_GoBack"/>
      <w:bookmarkEnd w:id="0"/>
      <w:r>
        <w:rPr>
          <w:rFonts w:hint="eastAsia" w:ascii="仿宋" w:hAnsi="仿宋" w:eastAsia="仿宋" w:cs="仿宋"/>
          <w:b/>
          <w:sz w:val="36"/>
          <w:highlight w:val="none"/>
        </w:rPr>
        <w:t>技术、服务及其他要求</w:t>
      </w:r>
    </w:p>
    <w:p w14:paraId="42C3D9B9">
      <w:pPr>
        <w:pStyle w:val="6"/>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1A323BC8">
      <w:pPr>
        <w:pStyle w:val="6"/>
        <w:jc w:val="left"/>
        <w:outlineLvl w:val="1"/>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tbl>
      <w:tblPr>
        <w:tblStyle w:val="3"/>
        <w:tblW w:w="544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44"/>
        <w:gridCol w:w="779"/>
        <w:gridCol w:w="2836"/>
        <w:gridCol w:w="2085"/>
        <w:gridCol w:w="1065"/>
        <w:gridCol w:w="1065"/>
        <w:gridCol w:w="998"/>
      </w:tblGrid>
      <w:tr w14:paraId="409B7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6" w:hRule="atLeast"/>
          <w:jc w:val="center"/>
        </w:trPr>
        <w:tc>
          <w:tcPr>
            <w:tcW w:w="239" w:type="pct"/>
            <w:vAlign w:val="center"/>
          </w:tcPr>
          <w:p w14:paraId="7AECB7C7">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包号</w:t>
            </w:r>
          </w:p>
        </w:tc>
        <w:tc>
          <w:tcPr>
            <w:tcW w:w="420" w:type="pct"/>
            <w:vAlign w:val="center"/>
          </w:tcPr>
          <w:p w14:paraId="304891E2">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编号</w:t>
            </w:r>
          </w:p>
        </w:tc>
        <w:tc>
          <w:tcPr>
            <w:tcW w:w="1529" w:type="pct"/>
            <w:vAlign w:val="center"/>
          </w:tcPr>
          <w:p w14:paraId="6C064382">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标的名称</w:t>
            </w:r>
          </w:p>
        </w:tc>
        <w:tc>
          <w:tcPr>
            <w:tcW w:w="1124" w:type="pct"/>
            <w:vAlign w:val="center"/>
          </w:tcPr>
          <w:p w14:paraId="4B4CA224">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★最高单价限价（元）</w:t>
            </w:r>
          </w:p>
        </w:tc>
        <w:tc>
          <w:tcPr>
            <w:tcW w:w="574" w:type="pct"/>
            <w:vAlign w:val="center"/>
          </w:tcPr>
          <w:p w14:paraId="539041BF">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数量</w:t>
            </w:r>
          </w:p>
        </w:tc>
        <w:tc>
          <w:tcPr>
            <w:tcW w:w="574" w:type="pct"/>
            <w:vAlign w:val="center"/>
          </w:tcPr>
          <w:p w14:paraId="4B3EFCCB">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★计量</w:t>
            </w:r>
          </w:p>
          <w:p w14:paraId="5458F6EC">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单位</w:t>
            </w:r>
          </w:p>
        </w:tc>
        <w:tc>
          <w:tcPr>
            <w:tcW w:w="538" w:type="pct"/>
            <w:vAlign w:val="center"/>
          </w:tcPr>
          <w:p w14:paraId="51475CCF">
            <w:pPr>
              <w:pStyle w:val="6"/>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★允许 进口</w:t>
            </w:r>
          </w:p>
        </w:tc>
      </w:tr>
      <w:tr w14:paraId="7A220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9" w:type="pct"/>
            <w:vAlign w:val="center"/>
          </w:tcPr>
          <w:p w14:paraId="605D74AD">
            <w:pPr>
              <w:pStyle w:val="6"/>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 w:type="pct"/>
            <w:vAlign w:val="center"/>
          </w:tcPr>
          <w:p w14:paraId="22316A2E">
            <w:pPr>
              <w:keepNext w:val="0"/>
              <w:keepLines w:val="0"/>
              <w:widowControl/>
              <w:suppressLineNumbers w:val="0"/>
              <w:jc w:val="center"/>
              <w:textAlignment w:val="center"/>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p>
        </w:tc>
        <w:tc>
          <w:tcPr>
            <w:tcW w:w="1529" w:type="pct"/>
            <w:vAlign w:val="center"/>
          </w:tcPr>
          <w:p w14:paraId="066FD096">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透明敷料</w:t>
            </w:r>
          </w:p>
        </w:tc>
        <w:tc>
          <w:tcPr>
            <w:tcW w:w="1124" w:type="pct"/>
            <w:vAlign w:val="center"/>
          </w:tcPr>
          <w:p w14:paraId="40156C38">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11.25</w:t>
            </w:r>
          </w:p>
        </w:tc>
        <w:tc>
          <w:tcPr>
            <w:tcW w:w="574" w:type="pct"/>
            <w:vAlign w:val="center"/>
          </w:tcPr>
          <w:p w14:paraId="3AB5B5E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按计划</w:t>
            </w:r>
          </w:p>
        </w:tc>
        <w:tc>
          <w:tcPr>
            <w:tcW w:w="574" w:type="pct"/>
            <w:vAlign w:val="center"/>
          </w:tcPr>
          <w:p w14:paraId="31C83B61">
            <w:pPr>
              <w:widowControl/>
              <w:jc w:val="center"/>
              <w:textAlignment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片</w:t>
            </w:r>
          </w:p>
        </w:tc>
        <w:tc>
          <w:tcPr>
            <w:tcW w:w="538" w:type="pct"/>
            <w:vAlign w:val="center"/>
          </w:tcPr>
          <w:p w14:paraId="15954EC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允许</w:t>
            </w:r>
          </w:p>
        </w:tc>
      </w:tr>
      <w:tr w14:paraId="63B04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9" w:type="pct"/>
            <w:vAlign w:val="center"/>
          </w:tcPr>
          <w:p w14:paraId="0AA97AD0">
            <w:pPr>
              <w:pStyle w:val="6"/>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 w:type="pct"/>
            <w:vAlign w:val="center"/>
          </w:tcPr>
          <w:p w14:paraId="2AF02618">
            <w:pPr>
              <w:spacing w:line="400" w:lineRule="exact"/>
              <w:jc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2-1</w:t>
            </w:r>
          </w:p>
        </w:tc>
        <w:tc>
          <w:tcPr>
            <w:tcW w:w="1529" w:type="pct"/>
            <w:vAlign w:val="center"/>
          </w:tcPr>
          <w:p w14:paraId="5A789987">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124" w:type="pct"/>
            <w:vAlign w:val="center"/>
          </w:tcPr>
          <w:p w14:paraId="4CA5C2DE">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p>
        </w:tc>
        <w:tc>
          <w:tcPr>
            <w:tcW w:w="574" w:type="pct"/>
            <w:vAlign w:val="center"/>
          </w:tcPr>
          <w:p w14:paraId="747C14A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按计划</w:t>
            </w:r>
          </w:p>
        </w:tc>
        <w:tc>
          <w:tcPr>
            <w:tcW w:w="574" w:type="pct"/>
            <w:vAlign w:val="center"/>
          </w:tcPr>
          <w:p w14:paraId="318C9852">
            <w:pPr>
              <w:widowControl/>
              <w:jc w:val="center"/>
              <w:textAlignment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片</w:t>
            </w:r>
          </w:p>
        </w:tc>
        <w:tc>
          <w:tcPr>
            <w:tcW w:w="538" w:type="pct"/>
            <w:vAlign w:val="center"/>
          </w:tcPr>
          <w:p w14:paraId="0F0D42E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不允许</w:t>
            </w:r>
          </w:p>
        </w:tc>
      </w:tr>
      <w:tr w14:paraId="5676D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9" w:type="pct"/>
            <w:vAlign w:val="center"/>
          </w:tcPr>
          <w:p w14:paraId="3D32C886">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 w:type="pct"/>
            <w:vAlign w:val="center"/>
          </w:tcPr>
          <w:p w14:paraId="0C55322C">
            <w:pPr>
              <w:spacing w:line="400" w:lineRule="exact"/>
              <w:jc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2-2</w:t>
            </w:r>
          </w:p>
        </w:tc>
        <w:tc>
          <w:tcPr>
            <w:tcW w:w="1529" w:type="pct"/>
            <w:vAlign w:val="center"/>
          </w:tcPr>
          <w:p w14:paraId="5A0FFEC9">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124" w:type="pct"/>
            <w:vAlign w:val="center"/>
          </w:tcPr>
          <w:p w14:paraId="6202CC6A">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2.07</w:t>
            </w:r>
          </w:p>
        </w:tc>
        <w:tc>
          <w:tcPr>
            <w:tcW w:w="574" w:type="pct"/>
            <w:vAlign w:val="center"/>
          </w:tcPr>
          <w:p w14:paraId="5668D7D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按计划</w:t>
            </w:r>
          </w:p>
        </w:tc>
        <w:tc>
          <w:tcPr>
            <w:tcW w:w="574" w:type="pct"/>
            <w:vAlign w:val="center"/>
          </w:tcPr>
          <w:p w14:paraId="6466EB60">
            <w:pPr>
              <w:widowControl/>
              <w:jc w:val="center"/>
              <w:textAlignment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片</w:t>
            </w:r>
          </w:p>
        </w:tc>
        <w:tc>
          <w:tcPr>
            <w:tcW w:w="538" w:type="pct"/>
            <w:vAlign w:val="center"/>
          </w:tcPr>
          <w:p w14:paraId="0536BE2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不允许</w:t>
            </w:r>
          </w:p>
        </w:tc>
      </w:tr>
      <w:tr w14:paraId="3CE9F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9" w:type="pct"/>
            <w:vAlign w:val="center"/>
          </w:tcPr>
          <w:p w14:paraId="222883B9">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 w:type="pct"/>
            <w:vAlign w:val="center"/>
          </w:tcPr>
          <w:p w14:paraId="44EA3E08">
            <w:pPr>
              <w:spacing w:line="400" w:lineRule="exact"/>
              <w:jc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3-1</w:t>
            </w:r>
          </w:p>
        </w:tc>
        <w:tc>
          <w:tcPr>
            <w:tcW w:w="1529" w:type="pct"/>
            <w:vAlign w:val="center"/>
          </w:tcPr>
          <w:p w14:paraId="79F13012">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124" w:type="pct"/>
            <w:vAlign w:val="center"/>
          </w:tcPr>
          <w:p w14:paraId="7288055F">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1.08</w:t>
            </w:r>
          </w:p>
        </w:tc>
        <w:tc>
          <w:tcPr>
            <w:tcW w:w="574" w:type="pct"/>
            <w:vAlign w:val="center"/>
          </w:tcPr>
          <w:p w14:paraId="48A8F5D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按计划</w:t>
            </w:r>
          </w:p>
        </w:tc>
        <w:tc>
          <w:tcPr>
            <w:tcW w:w="574" w:type="pct"/>
            <w:vAlign w:val="center"/>
          </w:tcPr>
          <w:p w14:paraId="13ECA2C4">
            <w:pPr>
              <w:widowControl/>
              <w:jc w:val="center"/>
              <w:textAlignment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片</w:t>
            </w:r>
          </w:p>
        </w:tc>
        <w:tc>
          <w:tcPr>
            <w:tcW w:w="538" w:type="pct"/>
            <w:vAlign w:val="center"/>
          </w:tcPr>
          <w:p w14:paraId="1E24F34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不允许</w:t>
            </w:r>
          </w:p>
        </w:tc>
      </w:tr>
      <w:tr w14:paraId="01FDA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9" w:type="pct"/>
            <w:vAlign w:val="center"/>
          </w:tcPr>
          <w:p w14:paraId="205ADF9D">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 w:type="pct"/>
            <w:vAlign w:val="center"/>
          </w:tcPr>
          <w:p w14:paraId="1578A5A5">
            <w:pPr>
              <w:spacing w:line="400" w:lineRule="exact"/>
              <w:jc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3-2</w:t>
            </w:r>
          </w:p>
        </w:tc>
        <w:tc>
          <w:tcPr>
            <w:tcW w:w="1529" w:type="pct"/>
            <w:vAlign w:val="center"/>
          </w:tcPr>
          <w:p w14:paraId="19685B7B">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124" w:type="pct"/>
            <w:vAlign w:val="center"/>
          </w:tcPr>
          <w:p w14:paraId="78EDF1CC">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1.58</w:t>
            </w:r>
          </w:p>
        </w:tc>
        <w:tc>
          <w:tcPr>
            <w:tcW w:w="574" w:type="pct"/>
            <w:vAlign w:val="center"/>
          </w:tcPr>
          <w:p w14:paraId="122B0C3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按计划</w:t>
            </w:r>
          </w:p>
        </w:tc>
        <w:tc>
          <w:tcPr>
            <w:tcW w:w="574" w:type="pct"/>
            <w:vAlign w:val="center"/>
          </w:tcPr>
          <w:p w14:paraId="259FA2D6">
            <w:pPr>
              <w:widowControl/>
              <w:jc w:val="center"/>
              <w:textAlignment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片</w:t>
            </w:r>
          </w:p>
        </w:tc>
        <w:tc>
          <w:tcPr>
            <w:tcW w:w="538" w:type="pct"/>
            <w:vAlign w:val="center"/>
          </w:tcPr>
          <w:p w14:paraId="1C7FDB6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不允许</w:t>
            </w:r>
          </w:p>
        </w:tc>
      </w:tr>
      <w:tr w14:paraId="58F07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9" w:type="pct"/>
            <w:vAlign w:val="center"/>
          </w:tcPr>
          <w:p w14:paraId="29C3E562">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 w:type="pct"/>
            <w:vAlign w:val="center"/>
          </w:tcPr>
          <w:p w14:paraId="3F139F1B">
            <w:pPr>
              <w:spacing w:line="400" w:lineRule="exact"/>
              <w:jc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3-3</w:t>
            </w:r>
          </w:p>
        </w:tc>
        <w:tc>
          <w:tcPr>
            <w:tcW w:w="1529" w:type="pct"/>
            <w:vAlign w:val="center"/>
          </w:tcPr>
          <w:p w14:paraId="4AD33070">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124" w:type="pct"/>
            <w:vAlign w:val="center"/>
          </w:tcPr>
          <w:p w14:paraId="1F162596">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2.48</w:t>
            </w:r>
          </w:p>
        </w:tc>
        <w:tc>
          <w:tcPr>
            <w:tcW w:w="574" w:type="pct"/>
            <w:vAlign w:val="center"/>
          </w:tcPr>
          <w:p w14:paraId="4B39F8B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按计划</w:t>
            </w:r>
          </w:p>
        </w:tc>
        <w:tc>
          <w:tcPr>
            <w:tcW w:w="574" w:type="pct"/>
            <w:vAlign w:val="center"/>
          </w:tcPr>
          <w:p w14:paraId="2C8466F8">
            <w:pPr>
              <w:widowControl/>
              <w:jc w:val="center"/>
              <w:textAlignment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片</w:t>
            </w:r>
          </w:p>
        </w:tc>
        <w:tc>
          <w:tcPr>
            <w:tcW w:w="538" w:type="pct"/>
            <w:vAlign w:val="center"/>
          </w:tcPr>
          <w:p w14:paraId="1F41CE1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不允许</w:t>
            </w:r>
          </w:p>
        </w:tc>
      </w:tr>
      <w:tr w14:paraId="261F9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9" w:type="pct"/>
            <w:vAlign w:val="center"/>
          </w:tcPr>
          <w:p w14:paraId="26AD12B0">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0" w:type="pct"/>
            <w:vAlign w:val="center"/>
          </w:tcPr>
          <w:p w14:paraId="0D08755A">
            <w:pPr>
              <w:spacing w:line="400" w:lineRule="exact"/>
              <w:jc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3-4</w:t>
            </w:r>
          </w:p>
        </w:tc>
        <w:tc>
          <w:tcPr>
            <w:tcW w:w="1529" w:type="pct"/>
            <w:vAlign w:val="center"/>
          </w:tcPr>
          <w:p w14:paraId="270FC9AA">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124" w:type="pct"/>
            <w:vAlign w:val="center"/>
          </w:tcPr>
          <w:p w14:paraId="1D982E6F">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2.18</w:t>
            </w:r>
          </w:p>
        </w:tc>
        <w:tc>
          <w:tcPr>
            <w:tcW w:w="574" w:type="pct"/>
            <w:vAlign w:val="center"/>
          </w:tcPr>
          <w:p w14:paraId="72C4A67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按计划</w:t>
            </w:r>
          </w:p>
        </w:tc>
        <w:tc>
          <w:tcPr>
            <w:tcW w:w="574" w:type="pct"/>
            <w:vAlign w:val="center"/>
          </w:tcPr>
          <w:p w14:paraId="70D6468A">
            <w:pPr>
              <w:widowControl/>
              <w:jc w:val="center"/>
              <w:textAlignment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片</w:t>
            </w:r>
          </w:p>
        </w:tc>
        <w:tc>
          <w:tcPr>
            <w:tcW w:w="538" w:type="pct"/>
            <w:vAlign w:val="center"/>
          </w:tcPr>
          <w:p w14:paraId="3603D02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不允许</w:t>
            </w:r>
          </w:p>
        </w:tc>
      </w:tr>
    </w:tbl>
    <w:p w14:paraId="519B04DC">
      <w:pPr>
        <w:pStyle w:val="6"/>
        <w:spacing w:line="360" w:lineRule="auto"/>
        <w:ind w:firstLine="480"/>
        <w:jc w:val="left"/>
        <w:rPr>
          <w:rFonts w:hint="eastAsia" w:ascii="仿宋" w:hAnsi="仿宋" w:eastAsia="仿宋" w:cs="仿宋"/>
          <w:b/>
          <w:sz w:val="28"/>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13DB733C">
      <w:pPr>
        <w:pStyle w:val="6"/>
        <w:keepNext w:val="0"/>
        <w:keepLines w:val="0"/>
        <w:pageBreakBefore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sz w:val="28"/>
        </w:rPr>
      </w:pPr>
      <w:r>
        <w:rPr>
          <w:rFonts w:hint="eastAsia" w:ascii="仿宋" w:hAnsi="仿宋" w:eastAsia="仿宋" w:cs="仿宋"/>
          <w:b/>
          <w:sz w:val="28"/>
        </w:rPr>
        <w:t>3.2.技术要求</w:t>
      </w:r>
    </w:p>
    <w:tbl>
      <w:tblPr>
        <w:tblStyle w:val="4"/>
        <w:tblW w:w="9300"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69"/>
        <w:gridCol w:w="1696"/>
        <w:gridCol w:w="4200"/>
        <w:gridCol w:w="1005"/>
      </w:tblGrid>
      <w:tr w14:paraId="47C3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0" w:type="dxa"/>
            <w:noWrap w:val="0"/>
            <w:vAlign w:val="center"/>
          </w:tcPr>
          <w:p w14:paraId="4AFB91C9">
            <w:pPr>
              <w:keepNext w:val="0"/>
              <w:keepLines w:val="0"/>
              <w:widowControl/>
              <w:suppressLineNumbers w:val="0"/>
              <w:jc w:val="center"/>
              <w:textAlignment w:val="center"/>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编号</w:t>
            </w:r>
          </w:p>
        </w:tc>
        <w:tc>
          <w:tcPr>
            <w:tcW w:w="1769" w:type="dxa"/>
            <w:noWrap w:val="0"/>
            <w:vAlign w:val="center"/>
          </w:tcPr>
          <w:p w14:paraId="2C507927">
            <w:pPr>
              <w:keepNext w:val="0"/>
              <w:keepLines w:val="0"/>
              <w:widowControl/>
              <w:suppressLineNumbers w:val="0"/>
              <w:jc w:val="center"/>
              <w:textAlignment w:val="center"/>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标的名称</w:t>
            </w:r>
          </w:p>
        </w:tc>
        <w:tc>
          <w:tcPr>
            <w:tcW w:w="1696" w:type="dxa"/>
            <w:noWrap w:val="0"/>
            <w:vAlign w:val="center"/>
          </w:tcPr>
          <w:p w14:paraId="608B83E3">
            <w:pPr>
              <w:keepNext w:val="0"/>
              <w:keepLines w:val="0"/>
              <w:widowControl/>
              <w:suppressLineNumbers w:val="0"/>
              <w:jc w:val="center"/>
              <w:textAlignment w:val="center"/>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★配送耗材预期用途</w:t>
            </w:r>
          </w:p>
        </w:tc>
        <w:tc>
          <w:tcPr>
            <w:tcW w:w="4200" w:type="dxa"/>
            <w:noWrap w:val="0"/>
            <w:vAlign w:val="center"/>
          </w:tcPr>
          <w:p w14:paraId="06FA96F3">
            <w:pPr>
              <w:keepNext w:val="0"/>
              <w:keepLines w:val="0"/>
              <w:widowControl/>
              <w:suppressLineNumbers w:val="0"/>
              <w:jc w:val="center"/>
              <w:textAlignment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预期使用的规格、型号及耗材的配置组成等情况</w:t>
            </w:r>
          </w:p>
        </w:tc>
        <w:tc>
          <w:tcPr>
            <w:tcW w:w="1005" w:type="dxa"/>
            <w:noWrap w:val="0"/>
            <w:vAlign w:val="center"/>
          </w:tcPr>
          <w:p w14:paraId="3B3A6E03">
            <w:pPr>
              <w:keepNext w:val="0"/>
              <w:keepLines w:val="0"/>
              <w:widowControl/>
              <w:suppressLineNumbers w:val="0"/>
              <w:jc w:val="center"/>
              <w:textAlignment w:val="center"/>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★产地</w:t>
            </w:r>
          </w:p>
        </w:tc>
      </w:tr>
      <w:tr w14:paraId="142B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trPr>
        <w:tc>
          <w:tcPr>
            <w:tcW w:w="630" w:type="dxa"/>
            <w:noWrap w:val="0"/>
            <w:vAlign w:val="center"/>
          </w:tcPr>
          <w:p w14:paraId="60F21914">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p>
        </w:tc>
        <w:tc>
          <w:tcPr>
            <w:tcW w:w="1769" w:type="dxa"/>
            <w:noWrap w:val="0"/>
            <w:vAlign w:val="center"/>
          </w:tcPr>
          <w:p w14:paraId="3B6B5DDC">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透明敷料</w:t>
            </w:r>
          </w:p>
        </w:tc>
        <w:tc>
          <w:tcPr>
            <w:tcW w:w="1696" w:type="dxa"/>
            <w:noWrap w:val="0"/>
            <w:vAlign w:val="center"/>
          </w:tcPr>
          <w:p w14:paraId="03427F50">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适用于导管固定，能保持导管部位的干燥，减少皮肤浸渍和皮肤上的细菌繁殖增生。</w:t>
            </w:r>
          </w:p>
        </w:tc>
        <w:tc>
          <w:tcPr>
            <w:tcW w:w="4200" w:type="dxa"/>
            <w:noWrap w:val="0"/>
            <w:vAlign w:val="center"/>
          </w:tcPr>
          <w:p w14:paraId="4616E503">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1.预期使用的规格：10cm×12cm、6cm×7cm 单手操作型；</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2.结构组成：透明敷料为聚氨酯薄膜材料，表面均匀涂有丙烯酸粘合剂；</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★3.无致敏性、无皮肤刺激性。</w:t>
            </w:r>
            <w:r>
              <w:rPr>
                <w:rFonts w:hint="eastAsia" w:ascii="仿宋" w:hAnsi="仿宋" w:eastAsia="仿宋" w:cs="仿宋"/>
                <w:b/>
                <w:bCs/>
                <w:kern w:val="0"/>
                <w:sz w:val="24"/>
                <w:szCs w:val="24"/>
                <w:lang w:val="en-US" w:eastAsia="zh-CN"/>
              </w:rPr>
              <w:t>（须提供投标对应产品的第三方检验报告）</w:t>
            </w:r>
          </w:p>
        </w:tc>
        <w:tc>
          <w:tcPr>
            <w:tcW w:w="1005" w:type="dxa"/>
            <w:noWrap w:val="0"/>
            <w:vAlign w:val="center"/>
          </w:tcPr>
          <w:p w14:paraId="7A0B7EB8">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允许进口</w:t>
            </w:r>
          </w:p>
        </w:tc>
      </w:tr>
      <w:tr w14:paraId="5531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30" w:type="dxa"/>
            <w:noWrap w:val="0"/>
            <w:vAlign w:val="center"/>
          </w:tcPr>
          <w:p w14:paraId="33F7CE49">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2-1</w:t>
            </w:r>
          </w:p>
        </w:tc>
        <w:tc>
          <w:tcPr>
            <w:tcW w:w="1769" w:type="dxa"/>
            <w:noWrap w:val="0"/>
            <w:vAlign w:val="center"/>
          </w:tcPr>
          <w:p w14:paraId="0580D588">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696" w:type="dxa"/>
            <w:noWrap w:val="0"/>
            <w:vAlign w:val="center"/>
          </w:tcPr>
          <w:p w14:paraId="3A8EF4E5">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适用于手术后切口的保护，留置针、静脉导管的固定。</w:t>
            </w:r>
          </w:p>
        </w:tc>
        <w:tc>
          <w:tcPr>
            <w:tcW w:w="4200" w:type="dxa"/>
            <w:noWrap w:val="0"/>
            <w:vAlign w:val="center"/>
          </w:tcPr>
          <w:p w14:paraId="7FB91F14">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1.预期使用的规格：6cm×7cm；</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2.结构组成：敷料由医用聚氨酯薄膜上涂覆医用粘合剂制成，两面有离型材料保护。</w:t>
            </w:r>
          </w:p>
        </w:tc>
        <w:tc>
          <w:tcPr>
            <w:tcW w:w="1005" w:type="dxa"/>
            <w:noWrap w:val="0"/>
            <w:vAlign w:val="center"/>
          </w:tcPr>
          <w:p w14:paraId="19E59E35">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国产</w:t>
            </w:r>
          </w:p>
        </w:tc>
      </w:tr>
      <w:tr w14:paraId="3A45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30" w:type="dxa"/>
            <w:noWrap w:val="0"/>
            <w:vAlign w:val="center"/>
          </w:tcPr>
          <w:p w14:paraId="44861DCA">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2-2</w:t>
            </w:r>
          </w:p>
        </w:tc>
        <w:tc>
          <w:tcPr>
            <w:tcW w:w="1769" w:type="dxa"/>
            <w:noWrap w:val="0"/>
            <w:vAlign w:val="center"/>
          </w:tcPr>
          <w:p w14:paraId="6521DD7D">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696" w:type="dxa"/>
            <w:noWrap w:val="0"/>
            <w:vAlign w:val="center"/>
          </w:tcPr>
          <w:p w14:paraId="1F0530FC">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适用于手术后切口的保护，留置针、静脉导管的固定。</w:t>
            </w:r>
          </w:p>
        </w:tc>
        <w:tc>
          <w:tcPr>
            <w:tcW w:w="4200" w:type="dxa"/>
            <w:noWrap w:val="0"/>
            <w:vAlign w:val="center"/>
          </w:tcPr>
          <w:p w14:paraId="3D311BB9">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1.预期使用的规格：10cm×12cm；</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2.结构组成：敷料由医用聚氨酯薄膜上涂覆医用粘合剂制成，两面有离型材料保护。</w:t>
            </w:r>
          </w:p>
        </w:tc>
        <w:tc>
          <w:tcPr>
            <w:tcW w:w="1005" w:type="dxa"/>
            <w:noWrap w:val="0"/>
            <w:vAlign w:val="center"/>
          </w:tcPr>
          <w:p w14:paraId="38609C24">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国产</w:t>
            </w:r>
          </w:p>
        </w:tc>
      </w:tr>
      <w:tr w14:paraId="5A2D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30" w:type="dxa"/>
            <w:noWrap w:val="0"/>
            <w:vAlign w:val="center"/>
          </w:tcPr>
          <w:p w14:paraId="57E67D91">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3-1</w:t>
            </w:r>
          </w:p>
        </w:tc>
        <w:tc>
          <w:tcPr>
            <w:tcW w:w="1769" w:type="dxa"/>
            <w:noWrap w:val="0"/>
            <w:vAlign w:val="center"/>
          </w:tcPr>
          <w:p w14:paraId="6ACB605E">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696" w:type="dxa"/>
            <w:noWrap w:val="0"/>
            <w:vAlign w:val="center"/>
          </w:tcPr>
          <w:p w14:paraId="31A069C3">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适用于手术后切口的保护、固定。</w:t>
            </w:r>
          </w:p>
        </w:tc>
        <w:tc>
          <w:tcPr>
            <w:tcW w:w="4200" w:type="dxa"/>
            <w:noWrap w:val="0"/>
            <w:vAlign w:val="center"/>
          </w:tcPr>
          <w:p w14:paraId="6B4D1AF9">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1.预期使用的规格：6cm×7cm；</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2.结构组成：敷料由无纺布涂敷医用粘合剂后，覆上人造纤维材料的吸水垫制成，单面有离型材料保护。</w:t>
            </w:r>
          </w:p>
        </w:tc>
        <w:tc>
          <w:tcPr>
            <w:tcW w:w="1005" w:type="dxa"/>
            <w:noWrap w:val="0"/>
            <w:vAlign w:val="center"/>
          </w:tcPr>
          <w:p w14:paraId="76D7ED66">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国产</w:t>
            </w:r>
          </w:p>
        </w:tc>
      </w:tr>
      <w:tr w14:paraId="672B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30" w:type="dxa"/>
            <w:noWrap w:val="0"/>
            <w:vAlign w:val="center"/>
          </w:tcPr>
          <w:p w14:paraId="321C265C">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3-2</w:t>
            </w:r>
          </w:p>
        </w:tc>
        <w:tc>
          <w:tcPr>
            <w:tcW w:w="1769" w:type="dxa"/>
            <w:noWrap w:val="0"/>
            <w:vAlign w:val="center"/>
          </w:tcPr>
          <w:p w14:paraId="2A905858">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696" w:type="dxa"/>
            <w:noWrap w:val="0"/>
            <w:vAlign w:val="center"/>
          </w:tcPr>
          <w:p w14:paraId="009DD521">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适用于手术后切口的保护、固定。</w:t>
            </w:r>
          </w:p>
        </w:tc>
        <w:tc>
          <w:tcPr>
            <w:tcW w:w="4200" w:type="dxa"/>
            <w:noWrap w:val="0"/>
            <w:vAlign w:val="center"/>
          </w:tcPr>
          <w:p w14:paraId="348CBF17">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1.预期使用的规格：9cm×15cm；</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2.结构组成：敷料由无纺布涂敷医用粘合剂后，覆上人造纤维材料的吸水垫制成，单面有离型材料保护。</w:t>
            </w:r>
          </w:p>
        </w:tc>
        <w:tc>
          <w:tcPr>
            <w:tcW w:w="1005" w:type="dxa"/>
            <w:noWrap w:val="0"/>
            <w:vAlign w:val="center"/>
          </w:tcPr>
          <w:p w14:paraId="3E8A48CB">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国产</w:t>
            </w:r>
          </w:p>
        </w:tc>
      </w:tr>
      <w:tr w14:paraId="62AA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30" w:type="dxa"/>
            <w:noWrap w:val="0"/>
            <w:vAlign w:val="center"/>
          </w:tcPr>
          <w:p w14:paraId="62EAD86E">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3-3</w:t>
            </w:r>
          </w:p>
        </w:tc>
        <w:tc>
          <w:tcPr>
            <w:tcW w:w="1769" w:type="dxa"/>
            <w:noWrap w:val="0"/>
            <w:vAlign w:val="center"/>
          </w:tcPr>
          <w:p w14:paraId="30682092">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696" w:type="dxa"/>
            <w:noWrap w:val="0"/>
            <w:vAlign w:val="center"/>
          </w:tcPr>
          <w:p w14:paraId="3A3B16AC">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适用于手术后切口的保护、固定。</w:t>
            </w:r>
          </w:p>
        </w:tc>
        <w:tc>
          <w:tcPr>
            <w:tcW w:w="4200" w:type="dxa"/>
            <w:noWrap w:val="0"/>
            <w:vAlign w:val="center"/>
          </w:tcPr>
          <w:p w14:paraId="28E31275">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1.预期使用的规格:9cm×25cm；</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2.结构组成：敷料由无纺布涂敷医用粘合剂后，覆上人造纤维材料的吸水垫制成，单面有离型材料保护。</w:t>
            </w:r>
          </w:p>
        </w:tc>
        <w:tc>
          <w:tcPr>
            <w:tcW w:w="1005" w:type="dxa"/>
            <w:noWrap w:val="0"/>
            <w:vAlign w:val="center"/>
          </w:tcPr>
          <w:p w14:paraId="6FB825D9">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国产</w:t>
            </w:r>
          </w:p>
        </w:tc>
      </w:tr>
      <w:tr w14:paraId="7E38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30" w:type="dxa"/>
            <w:noWrap w:val="0"/>
            <w:vAlign w:val="center"/>
          </w:tcPr>
          <w:p w14:paraId="2765124E">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3-4</w:t>
            </w:r>
          </w:p>
        </w:tc>
        <w:tc>
          <w:tcPr>
            <w:tcW w:w="1769" w:type="dxa"/>
            <w:noWrap w:val="0"/>
            <w:vAlign w:val="center"/>
          </w:tcPr>
          <w:p w14:paraId="0B57C205">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医用无菌敷料</w:t>
            </w:r>
          </w:p>
        </w:tc>
        <w:tc>
          <w:tcPr>
            <w:tcW w:w="1696" w:type="dxa"/>
            <w:noWrap w:val="0"/>
            <w:vAlign w:val="center"/>
          </w:tcPr>
          <w:p w14:paraId="29ADEBB6">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适用于手术后切口的保护、固定。</w:t>
            </w:r>
          </w:p>
        </w:tc>
        <w:tc>
          <w:tcPr>
            <w:tcW w:w="4200" w:type="dxa"/>
            <w:noWrap w:val="0"/>
            <w:vAlign w:val="center"/>
          </w:tcPr>
          <w:p w14:paraId="1749C852">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1.预期使用的规格:12cm×14cm；</w:t>
            </w:r>
            <w:r>
              <w:rPr>
                <w:rFonts w:hint="eastAsia" w:ascii="仿宋" w:hAnsi="仿宋" w:eastAsia="仿宋" w:cs="仿宋"/>
                <w:b w:val="0"/>
                <w:bCs w:val="0"/>
                <w:kern w:val="0"/>
                <w:sz w:val="24"/>
                <w:szCs w:val="24"/>
                <w:lang w:val="en-US" w:eastAsia="zh-CN"/>
              </w:rPr>
              <w:br w:type="textWrapping"/>
            </w:r>
            <w:r>
              <w:rPr>
                <w:rFonts w:hint="eastAsia" w:ascii="仿宋" w:hAnsi="仿宋" w:eastAsia="仿宋" w:cs="仿宋"/>
                <w:b w:val="0"/>
                <w:bCs w:val="0"/>
                <w:kern w:val="0"/>
                <w:sz w:val="24"/>
                <w:szCs w:val="24"/>
                <w:lang w:val="en-US" w:eastAsia="zh-CN"/>
              </w:rPr>
              <w:t>2.结构组成：敷料由无纺布涂敷医用粘合剂后，覆上人造纤维材料的吸水垫制成，单面有离型材料保护。</w:t>
            </w:r>
          </w:p>
        </w:tc>
        <w:tc>
          <w:tcPr>
            <w:tcW w:w="1005" w:type="dxa"/>
            <w:noWrap w:val="0"/>
            <w:vAlign w:val="center"/>
          </w:tcPr>
          <w:p w14:paraId="1469C2FC">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国产</w:t>
            </w:r>
          </w:p>
        </w:tc>
      </w:tr>
    </w:tbl>
    <w:p w14:paraId="5A113A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8"/>
          <w:lang w:val="en-US" w:eastAsia="zh-CN"/>
        </w:rPr>
      </w:pPr>
      <w:r>
        <w:rPr>
          <w:rFonts w:hint="default" w:ascii="仿宋" w:hAnsi="仿宋" w:eastAsia="仿宋" w:cs="仿宋"/>
          <w:b/>
          <w:sz w:val="28"/>
          <w:lang w:val="en-US" w:eastAsia="zh-CN"/>
        </w:rPr>
        <w:t>★</w:t>
      </w:r>
      <w:r>
        <w:rPr>
          <w:rFonts w:hint="eastAsia" w:ascii="仿宋" w:hAnsi="仿宋" w:eastAsia="仿宋" w:cs="仿宋"/>
          <w:b/>
          <w:sz w:val="28"/>
          <w:lang w:val="en-US" w:eastAsia="zh-CN"/>
        </w:rPr>
        <w:t>3.3.项目采购要求</w:t>
      </w:r>
    </w:p>
    <w:p w14:paraId="37A6519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462CDB2B">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本项目所有标的均须提供挂网产品。</w:t>
      </w:r>
    </w:p>
    <w:p w14:paraId="356D75C9">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注：本项目中所指“挂网产品”，为“四川省药品和医用耗材招采管理系统”中已挂网产品（不含正在挂网和备案的产品）。</w:t>
      </w:r>
    </w:p>
    <w:p w14:paraId="0E4FBAA7">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sz w:val="28"/>
          <w:lang w:val="en-US" w:eastAsia="zh-CN"/>
        </w:rPr>
      </w:pPr>
      <w:r>
        <w:rPr>
          <w:rFonts w:hint="eastAsia" w:ascii="仿宋" w:hAnsi="仿宋" w:eastAsia="仿宋" w:cs="仿宋"/>
          <w:b/>
          <w:sz w:val="28"/>
          <w:lang w:val="en-US" w:eastAsia="zh-CN"/>
        </w:rPr>
        <w:t>二、</w:t>
      </w:r>
      <w:r>
        <w:rPr>
          <w:rFonts w:hint="default" w:ascii="仿宋" w:hAnsi="仿宋" w:eastAsia="仿宋" w:cs="仿宋"/>
          <w:b/>
          <w:sz w:val="28"/>
          <w:lang w:val="en-US" w:eastAsia="zh-CN"/>
        </w:rPr>
        <w:t>样品要求</w:t>
      </w:r>
    </w:p>
    <w:p w14:paraId="088FADD5">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1.必须提供样品，以供评审专家现场评审。</w:t>
      </w:r>
    </w:p>
    <w:p w14:paraId="52A94C0C">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2.提交的样品不符合实际需求或存在原理错误则视为无效响应。</w:t>
      </w:r>
    </w:p>
    <w:p w14:paraId="2D651655">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3.本项目供应商提供的样品，应与该供应商响应文件保持一致（具体参考《医疗器械说明书和标签管理规定》）。</w:t>
      </w:r>
    </w:p>
    <w:p w14:paraId="5398DE86">
      <w:pPr>
        <w:spacing w:line="312" w:lineRule="auto"/>
        <w:ind w:firstLine="482" w:firstLineChars="200"/>
        <w:jc w:val="left"/>
        <w:textAlignment w:val="center"/>
        <w:rPr>
          <w:rFonts w:hint="eastAsia" w:ascii="仿宋" w:hAnsi="仿宋" w:eastAsia="仿宋" w:cs="仿宋"/>
          <w:b/>
          <w:bCs/>
          <w:color w:val="000000"/>
          <w:kern w:val="0"/>
          <w:sz w:val="24"/>
          <w:szCs w:val="24"/>
          <w:highlight w:val="none"/>
          <w:u w:val="none"/>
          <w:lang w:val="en-US" w:eastAsia="zh-CN" w:bidi="ar"/>
        </w:rPr>
      </w:pPr>
      <w:r>
        <w:rPr>
          <w:rFonts w:hint="eastAsia" w:ascii="仿宋" w:hAnsi="仿宋" w:eastAsia="仿宋" w:cs="仿宋"/>
          <w:b/>
          <w:bCs/>
          <w:color w:val="000000"/>
          <w:kern w:val="0"/>
          <w:sz w:val="24"/>
          <w:szCs w:val="24"/>
          <w:highlight w:val="none"/>
          <w:u w:val="none"/>
          <w:lang w:val="en-US" w:eastAsia="zh-CN" w:bidi="ar"/>
        </w:rPr>
        <w:t>注：样品包装需完整，样品评审时将由采购代理机构拍照留存，作为后期验收的依据。</w:t>
      </w:r>
    </w:p>
    <w:p w14:paraId="28976000">
      <w:pPr>
        <w:spacing w:line="312" w:lineRule="auto"/>
        <w:jc w:val="left"/>
        <w:textAlignment w:val="center"/>
        <w:rPr>
          <w:rFonts w:hint="default" w:ascii="仿宋" w:hAnsi="仿宋" w:eastAsia="仿宋" w:cs="仿宋"/>
          <w:b/>
          <w:bCs/>
          <w:color w:val="000000"/>
          <w:kern w:val="0"/>
          <w:sz w:val="24"/>
          <w:szCs w:val="24"/>
          <w:highlight w:val="none"/>
          <w:u w:val="none"/>
          <w:lang w:val="en-US" w:eastAsia="zh-CN" w:bidi="ar"/>
        </w:rPr>
      </w:pPr>
    </w:p>
    <w:p w14:paraId="681B3DE7">
      <w:pPr>
        <w:spacing w:line="312" w:lineRule="auto"/>
        <w:jc w:val="left"/>
        <w:textAlignment w:val="center"/>
        <w:rPr>
          <w:rFonts w:hint="default" w:ascii="仿宋" w:hAnsi="仿宋" w:eastAsia="仿宋" w:cs="仿宋"/>
          <w:b/>
          <w:bCs/>
          <w:color w:val="000000"/>
          <w:kern w:val="0"/>
          <w:sz w:val="24"/>
          <w:szCs w:val="24"/>
          <w:highlight w:val="none"/>
          <w:u w:val="none"/>
          <w:lang w:val="en-US" w:eastAsia="zh-CN" w:bidi="ar"/>
        </w:rPr>
      </w:pPr>
    </w:p>
    <w:p w14:paraId="2D2C51BF">
      <w:pPr>
        <w:spacing w:line="312" w:lineRule="auto"/>
        <w:jc w:val="left"/>
        <w:textAlignment w:val="center"/>
        <w:rPr>
          <w:rFonts w:hint="default" w:ascii="仿宋" w:hAnsi="仿宋" w:eastAsia="仿宋" w:cs="仿宋"/>
          <w:b/>
          <w:bCs/>
          <w:color w:val="000000"/>
          <w:kern w:val="0"/>
          <w:sz w:val="24"/>
          <w:szCs w:val="24"/>
          <w:highlight w:val="none"/>
          <w:u w:val="none"/>
          <w:lang w:val="en-US" w:eastAsia="zh-CN" w:bidi="ar"/>
        </w:rPr>
      </w:pPr>
    </w:p>
    <w:p w14:paraId="34AD07BC">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p>
    <w:p w14:paraId="51468D3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（一）服务期限</w:t>
      </w:r>
    </w:p>
    <w:p w14:paraId="3A948A83">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每次配送时间必须严格按照采购人配送通知执行，成交供应商应于收到通知后2小时内响应。急用产品的配送时间不应超过4小时，一般产品原则上的配送时间不应超过2个工作日。</w:t>
      </w:r>
    </w:p>
    <w:p w14:paraId="44C038A0">
      <w:pPr>
        <w:keepNext w:val="0"/>
        <w:keepLines w:val="0"/>
        <w:pageBreakBefore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bCs/>
          <w:color w:val="000000"/>
          <w:kern w:val="0"/>
          <w:sz w:val="24"/>
          <w:szCs w:val="24"/>
          <w:highlight w:val="none"/>
          <w:u w:val="none"/>
          <w:lang w:val="en-US" w:eastAsia="zh-CN" w:bidi="ar"/>
        </w:rPr>
        <w:t>（二）服务地点：</w:t>
      </w:r>
      <w:r>
        <w:rPr>
          <w:rFonts w:hint="eastAsia" w:ascii="仿宋" w:hAnsi="仿宋" w:eastAsia="仿宋" w:cs="仿宋"/>
          <w:b w:val="0"/>
          <w:bCs w:val="0"/>
          <w:color w:val="000000"/>
          <w:kern w:val="0"/>
          <w:sz w:val="24"/>
          <w:szCs w:val="24"/>
          <w:highlight w:val="none"/>
          <w:u w:val="none"/>
          <w:lang w:val="en-US" w:eastAsia="zh-CN" w:bidi="ar"/>
        </w:rPr>
        <w:t>内江市第一人民医院指定地点。</w:t>
      </w:r>
    </w:p>
    <w:p w14:paraId="298E0B7E">
      <w:pPr>
        <w:pStyle w:val="6"/>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（三）付款方式和条件</w:t>
      </w:r>
    </w:p>
    <w:p w14:paraId="5BA0465D">
      <w:pPr>
        <w:pStyle w:val="6"/>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1.结算方式：</w:t>
      </w:r>
      <w:r>
        <w:rPr>
          <w:rFonts w:hint="eastAsia" w:ascii="仿宋" w:hAnsi="仿宋" w:eastAsia="仿宋" w:cs="仿宋"/>
          <w:b w:val="0"/>
          <w:bCs w:val="0"/>
          <w:color w:val="000000"/>
          <w:kern w:val="0"/>
          <w:sz w:val="22"/>
          <w:szCs w:val="22"/>
          <w:lang w:val="en-US" w:eastAsia="zh-CN" w:bidi="zh-CN"/>
        </w:rPr>
        <w:t>据实结算</w:t>
      </w:r>
      <w:r>
        <w:rPr>
          <w:rFonts w:hint="default" w:ascii="仿宋" w:hAnsi="仿宋" w:eastAsia="仿宋" w:cs="仿宋"/>
          <w:b w:val="0"/>
          <w:bCs w:val="0"/>
          <w:color w:val="000000"/>
          <w:kern w:val="0"/>
          <w:sz w:val="22"/>
          <w:szCs w:val="22"/>
          <w:lang w:val="en-US" w:eastAsia="zh-CN" w:bidi="zh-CN"/>
        </w:rPr>
        <w:t>且由双方协商决定</w:t>
      </w:r>
      <w:r>
        <w:rPr>
          <w:rFonts w:hint="eastAsia" w:ascii="仿宋" w:hAnsi="仿宋" w:eastAsia="仿宋" w:cs="仿宋"/>
          <w:b w:val="0"/>
          <w:bCs w:val="0"/>
          <w:sz w:val="24"/>
          <w:szCs w:val="24"/>
          <w:lang w:val="en-US" w:eastAsia="zh-CN"/>
        </w:rPr>
        <w:t>。</w:t>
      </w:r>
    </w:p>
    <w:p w14:paraId="451502B1">
      <w:pPr>
        <w:pStyle w:val="6"/>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2.成交价格包含成本、运输、包装、培训、配送、伴随服务、税费及其他附加费用。</w:t>
      </w:r>
    </w:p>
    <w:p w14:paraId="00A9D570">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（四）验收、交付标准和方法</w:t>
      </w:r>
    </w:p>
    <w:p w14:paraId="1E0D14A9">
      <w:pPr>
        <w:pStyle w:val="6"/>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w:t>
      </w:r>
      <w:r>
        <w:rPr>
          <w:rFonts w:hint="default" w:ascii="仿宋" w:hAnsi="仿宋" w:eastAsia="仿宋" w:cs="仿宋"/>
          <w:b w:val="0"/>
          <w:bCs w:val="0"/>
          <w:sz w:val="24"/>
          <w:szCs w:val="24"/>
          <w:lang w:val="en-US" w:eastAsia="zh-CN"/>
        </w:rPr>
        <w:t>按照《财政部关于进一步加强政府采购需求和履约验收管理的指导意见》（财库〔2016〕205号）的要求以及采购人</w:t>
      </w:r>
      <w:r>
        <w:rPr>
          <w:rFonts w:hint="eastAsia" w:ascii="仿宋" w:hAnsi="仿宋" w:eastAsia="仿宋" w:cs="仿宋"/>
          <w:b w:val="0"/>
          <w:bCs w:val="0"/>
          <w:sz w:val="24"/>
          <w:szCs w:val="24"/>
          <w:lang w:val="en-US" w:eastAsia="zh-CN"/>
        </w:rPr>
        <w:t>竞选文件</w:t>
      </w:r>
      <w:r>
        <w:rPr>
          <w:rFonts w:hint="default" w:ascii="仿宋" w:hAnsi="仿宋" w:eastAsia="仿宋" w:cs="仿宋"/>
          <w:b w:val="0"/>
          <w:bCs w:val="0"/>
          <w:sz w:val="24"/>
          <w:szCs w:val="24"/>
          <w:lang w:val="en-US" w:eastAsia="zh-CN"/>
        </w:rPr>
        <w:t>的质量要求和技术指标、</w:t>
      </w:r>
      <w:r>
        <w:rPr>
          <w:rFonts w:hint="eastAsia" w:ascii="仿宋" w:hAnsi="仿宋" w:eastAsia="仿宋" w:cs="仿宋"/>
          <w:b w:val="0"/>
          <w:bCs w:val="0"/>
          <w:sz w:val="24"/>
          <w:szCs w:val="24"/>
          <w:lang w:val="en-US" w:eastAsia="zh-CN"/>
        </w:rPr>
        <w:t>成交供应商</w:t>
      </w:r>
      <w:r>
        <w:rPr>
          <w:rFonts w:hint="default" w:ascii="仿宋" w:hAnsi="仿宋" w:eastAsia="仿宋" w:cs="仿宋"/>
          <w:b w:val="0"/>
          <w:bCs w:val="0"/>
          <w:sz w:val="24"/>
          <w:szCs w:val="24"/>
          <w:lang w:val="en-US" w:eastAsia="zh-CN"/>
        </w:rPr>
        <w:t>的</w:t>
      </w:r>
      <w:r>
        <w:rPr>
          <w:rFonts w:hint="eastAsia" w:ascii="仿宋" w:hAnsi="仿宋" w:eastAsia="仿宋" w:cs="仿宋"/>
          <w:b w:val="0"/>
          <w:bCs w:val="0"/>
          <w:sz w:val="24"/>
          <w:szCs w:val="24"/>
          <w:lang w:val="en-US" w:eastAsia="zh-CN"/>
        </w:rPr>
        <w:t>响应文件</w:t>
      </w:r>
      <w:r>
        <w:rPr>
          <w:rFonts w:hint="default" w:ascii="仿宋" w:hAnsi="仿宋" w:eastAsia="仿宋" w:cs="仿宋"/>
          <w:b w:val="0"/>
          <w:bCs w:val="0"/>
          <w:sz w:val="24"/>
          <w:szCs w:val="24"/>
          <w:lang w:val="en-US" w:eastAsia="zh-CN"/>
        </w:rPr>
        <w:t>及承诺（若有）、国家（行业）标准、采购合同约定标准进行验收</w:t>
      </w:r>
      <w:r>
        <w:rPr>
          <w:rFonts w:hint="eastAsia" w:ascii="仿宋" w:hAnsi="仿宋" w:eastAsia="仿宋" w:cs="仿宋"/>
          <w:b w:val="0"/>
          <w:bCs w:val="0"/>
          <w:sz w:val="24"/>
          <w:szCs w:val="24"/>
          <w:lang w:val="en-US" w:eastAsia="zh-CN"/>
        </w:rPr>
        <w:t>。</w:t>
      </w:r>
    </w:p>
    <w:p w14:paraId="18C62092">
      <w:pPr>
        <w:pStyle w:val="6"/>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r>
        <w:rPr>
          <w:rFonts w:hint="default" w:ascii="仿宋" w:hAnsi="仿宋" w:eastAsia="仿宋" w:cs="仿宋"/>
          <w:b w:val="0"/>
          <w:bCs w:val="0"/>
          <w:sz w:val="24"/>
          <w:szCs w:val="24"/>
          <w:lang w:val="en-US" w:eastAsia="zh-CN"/>
        </w:rPr>
        <w:t>验收时如发现所</w:t>
      </w:r>
      <w:r>
        <w:rPr>
          <w:rFonts w:hint="eastAsia" w:ascii="仿宋" w:hAnsi="仿宋" w:eastAsia="仿宋" w:cs="仿宋"/>
          <w:b w:val="0"/>
          <w:bCs w:val="0"/>
          <w:sz w:val="24"/>
          <w:szCs w:val="24"/>
          <w:lang w:val="en-US" w:eastAsia="zh-CN"/>
        </w:rPr>
        <w:t>配送</w:t>
      </w:r>
      <w:r>
        <w:rPr>
          <w:rFonts w:hint="default" w:ascii="仿宋" w:hAnsi="仿宋" w:eastAsia="仿宋" w:cs="仿宋"/>
          <w:b w:val="0"/>
          <w:bCs w:val="0"/>
          <w:sz w:val="24"/>
          <w:szCs w:val="24"/>
          <w:lang w:val="en-US" w:eastAsia="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b w:val="0"/>
          <w:bCs w:val="0"/>
          <w:sz w:val="24"/>
          <w:szCs w:val="24"/>
          <w:lang w:val="en-US" w:eastAsia="zh-CN"/>
        </w:rPr>
        <w:t>成交供应商</w:t>
      </w:r>
      <w:r>
        <w:rPr>
          <w:rFonts w:hint="default" w:ascii="仿宋" w:hAnsi="仿宋" w:eastAsia="仿宋" w:cs="仿宋"/>
          <w:b w:val="0"/>
          <w:bCs w:val="0"/>
          <w:sz w:val="24"/>
          <w:szCs w:val="24"/>
          <w:lang w:val="en-US" w:eastAsia="zh-CN"/>
        </w:rPr>
        <w:t>承担，验收期限相应顺延</w:t>
      </w:r>
      <w:r>
        <w:rPr>
          <w:rFonts w:hint="eastAsia" w:ascii="仿宋" w:hAnsi="仿宋" w:eastAsia="仿宋" w:cs="仿宋"/>
          <w:b w:val="0"/>
          <w:bCs w:val="0"/>
          <w:sz w:val="24"/>
          <w:szCs w:val="24"/>
          <w:lang w:val="en-US" w:eastAsia="zh-CN"/>
        </w:rPr>
        <w:t>。</w:t>
      </w:r>
    </w:p>
    <w:p w14:paraId="12B86B0A">
      <w:pPr>
        <w:pStyle w:val="6"/>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w:t>
      </w:r>
      <w:r>
        <w:rPr>
          <w:rFonts w:hint="default" w:ascii="仿宋" w:hAnsi="仿宋" w:eastAsia="仿宋" w:cs="仿宋"/>
          <w:b w:val="0"/>
          <w:bCs w:val="0"/>
          <w:sz w:val="24"/>
          <w:szCs w:val="24"/>
          <w:lang w:val="en-US" w:eastAsia="zh-CN"/>
        </w:rPr>
        <w:t>若所</w:t>
      </w:r>
      <w:r>
        <w:rPr>
          <w:rFonts w:hint="eastAsia" w:ascii="仿宋" w:hAnsi="仿宋" w:eastAsia="仿宋" w:cs="仿宋"/>
          <w:b w:val="0"/>
          <w:bCs w:val="0"/>
          <w:sz w:val="24"/>
          <w:szCs w:val="24"/>
          <w:lang w:val="en-US" w:eastAsia="zh-CN"/>
        </w:rPr>
        <w:t>配送</w:t>
      </w:r>
      <w:r>
        <w:rPr>
          <w:rFonts w:hint="default" w:ascii="仿宋" w:hAnsi="仿宋" w:eastAsia="仿宋" w:cs="仿宋"/>
          <w:b w:val="0"/>
          <w:bCs w:val="0"/>
          <w:sz w:val="24"/>
          <w:szCs w:val="24"/>
          <w:lang w:val="en-US" w:eastAsia="zh-CN"/>
        </w:rPr>
        <w:t>货物不符合验收标准，</w:t>
      </w:r>
      <w:r>
        <w:rPr>
          <w:rFonts w:hint="eastAsia" w:ascii="仿宋" w:hAnsi="仿宋" w:eastAsia="仿宋" w:cs="仿宋"/>
          <w:b w:val="0"/>
          <w:bCs w:val="0"/>
          <w:sz w:val="24"/>
          <w:szCs w:val="24"/>
          <w:lang w:val="en-US" w:eastAsia="zh-CN"/>
        </w:rPr>
        <w:t>成交供应商</w:t>
      </w:r>
      <w:r>
        <w:rPr>
          <w:rFonts w:hint="default" w:ascii="仿宋" w:hAnsi="仿宋" w:eastAsia="仿宋" w:cs="仿宋"/>
          <w:b w:val="0"/>
          <w:bCs w:val="0"/>
          <w:sz w:val="24"/>
          <w:szCs w:val="24"/>
          <w:lang w:val="en-US" w:eastAsia="zh-CN"/>
        </w:rPr>
        <w:t>经过2次调换后仍不能达到验收质量标准，则视为验收不合格，采购人有权全部（或部分）退货或解除合同。接到采购人退货通知，</w:t>
      </w:r>
      <w:r>
        <w:rPr>
          <w:rFonts w:hint="eastAsia" w:ascii="仿宋" w:hAnsi="仿宋" w:eastAsia="仿宋" w:cs="仿宋"/>
          <w:b w:val="0"/>
          <w:bCs w:val="0"/>
          <w:sz w:val="24"/>
          <w:szCs w:val="24"/>
          <w:lang w:val="en-US" w:eastAsia="zh-CN"/>
        </w:rPr>
        <w:t>成交供应商</w:t>
      </w:r>
      <w:r>
        <w:rPr>
          <w:rFonts w:hint="default" w:ascii="仿宋" w:hAnsi="仿宋" w:eastAsia="仿宋" w:cs="仿宋"/>
          <w:b w:val="0"/>
          <w:bCs w:val="0"/>
          <w:sz w:val="24"/>
          <w:szCs w:val="24"/>
          <w:lang w:val="en-US" w:eastAsia="zh-CN"/>
        </w:rPr>
        <w:t>除应及时运走采购人退还的货物外（若涉及费用或损失均由</w:t>
      </w:r>
      <w:r>
        <w:rPr>
          <w:rFonts w:hint="eastAsia" w:ascii="仿宋" w:hAnsi="仿宋" w:eastAsia="仿宋" w:cs="仿宋"/>
          <w:b w:val="0"/>
          <w:bCs w:val="0"/>
          <w:sz w:val="24"/>
          <w:szCs w:val="24"/>
          <w:lang w:val="en-US" w:eastAsia="zh-CN"/>
        </w:rPr>
        <w:t>成交供应商</w:t>
      </w:r>
      <w:r>
        <w:rPr>
          <w:rFonts w:hint="default" w:ascii="仿宋" w:hAnsi="仿宋" w:eastAsia="仿宋" w:cs="仿宋"/>
          <w:b w:val="0"/>
          <w:bCs w:val="0"/>
          <w:sz w:val="24"/>
          <w:szCs w:val="24"/>
          <w:lang w:val="en-US" w:eastAsia="zh-CN"/>
        </w:rPr>
        <w:t>自行承担），还应向采购人承担相应的违约责任。</w:t>
      </w:r>
    </w:p>
    <w:p w14:paraId="053D0C70">
      <w:pPr>
        <w:pStyle w:val="6"/>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w:t>
      </w:r>
      <w:r>
        <w:rPr>
          <w:rFonts w:hint="default" w:ascii="仿宋" w:hAnsi="仿宋" w:eastAsia="仿宋" w:cs="仿宋"/>
          <w:b w:val="0"/>
          <w:bCs w:val="0"/>
          <w:sz w:val="24"/>
          <w:szCs w:val="24"/>
          <w:lang w:val="en-US" w:eastAsia="zh-CN"/>
        </w:rPr>
        <w:t>其他未尽事宜严格按照《财政部关于进一步加强政府采购需求和履约验收管理的指导意见》（财库〔2016〕205号）的要求进行。</w:t>
      </w:r>
    </w:p>
    <w:p w14:paraId="528230AA">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b/>
          <w:bCs/>
          <w:color w:val="000000"/>
          <w:sz w:val="24"/>
          <w:szCs w:val="24"/>
          <w:lang w:val="en-US" w:eastAsia="zh-CN"/>
        </w:rPr>
        <w:t>（五）售后服</w:t>
      </w:r>
      <w:r>
        <w:rPr>
          <w:rFonts w:hint="eastAsia" w:ascii="楷体" w:hAnsi="楷体" w:eastAsia="楷体" w:cs="楷体"/>
          <w:b/>
          <w:bCs/>
          <w:color w:val="auto"/>
          <w:sz w:val="24"/>
          <w:szCs w:val="24"/>
          <w:highlight w:val="none"/>
          <w:shd w:val="clear" w:color="auto" w:fill="auto"/>
          <w:lang w:val="en-US" w:eastAsia="zh-CN"/>
        </w:rPr>
        <w:t>务</w:t>
      </w:r>
    </w:p>
    <w:p w14:paraId="61259A82">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必须严格按照</w:t>
      </w:r>
      <w:r>
        <w:rPr>
          <w:rFonts w:hint="eastAsia" w:ascii="仿宋" w:hAnsi="仿宋" w:eastAsia="仿宋" w:cs="仿宋"/>
          <w:b w:val="0"/>
          <w:bCs w:val="0"/>
          <w:kern w:val="0"/>
          <w:sz w:val="24"/>
          <w:szCs w:val="24"/>
          <w:lang w:val="en-US" w:eastAsia="zh-CN"/>
        </w:rPr>
        <w:t>竞选文件</w:t>
      </w:r>
      <w:r>
        <w:rPr>
          <w:rFonts w:hint="default" w:ascii="仿宋" w:hAnsi="仿宋" w:eastAsia="仿宋" w:cs="仿宋"/>
          <w:b w:val="0"/>
          <w:bCs w:val="0"/>
          <w:kern w:val="0"/>
          <w:sz w:val="24"/>
          <w:szCs w:val="24"/>
          <w:lang w:val="en-US" w:eastAsia="zh-CN"/>
        </w:rPr>
        <w:t>要求和</w:t>
      </w:r>
      <w:r>
        <w:rPr>
          <w:rFonts w:hint="eastAsia" w:ascii="仿宋" w:hAnsi="仿宋" w:eastAsia="仿宋" w:cs="仿宋"/>
          <w:b w:val="0"/>
          <w:bCs w:val="0"/>
          <w:kern w:val="0"/>
          <w:sz w:val="24"/>
          <w:szCs w:val="24"/>
          <w:lang w:val="en-US" w:eastAsia="zh-CN"/>
        </w:rPr>
        <w:t>响应文件</w:t>
      </w:r>
      <w:r>
        <w:rPr>
          <w:rFonts w:hint="default" w:ascii="仿宋" w:hAnsi="仿宋" w:eastAsia="仿宋" w:cs="仿宋"/>
          <w:b w:val="0"/>
          <w:bCs w:val="0"/>
          <w:kern w:val="0"/>
          <w:sz w:val="24"/>
          <w:szCs w:val="24"/>
          <w:lang w:val="en-US" w:eastAsia="zh-CN"/>
        </w:rPr>
        <w:t>中的承诺提供配送服务。如果配送的医用耗材规格、包装等信息与中标产品的规格、包装等信息不一致并不同意更换的，或配送的医用耗材和中标产品不一致的，采购人有权终止合同。</w:t>
      </w:r>
    </w:p>
    <w:p w14:paraId="1D0E3896">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指派专人负责与采购人联系售后服务事宜</w:t>
      </w:r>
      <w:r>
        <w:rPr>
          <w:rFonts w:hint="eastAsia" w:ascii="仿宋" w:hAnsi="仿宋" w:eastAsia="仿宋" w:cs="仿宋"/>
          <w:b w:val="0"/>
          <w:bCs w:val="0"/>
          <w:kern w:val="0"/>
          <w:sz w:val="24"/>
          <w:szCs w:val="24"/>
          <w:lang w:val="en-US" w:eastAsia="zh-CN"/>
        </w:rPr>
        <w:t>，</w:t>
      </w:r>
      <w:r>
        <w:rPr>
          <w:rFonts w:hint="default" w:ascii="仿宋" w:hAnsi="仿宋" w:eastAsia="仿宋" w:cs="仿宋"/>
          <w:b/>
          <w:bCs/>
          <w:kern w:val="0"/>
          <w:sz w:val="24"/>
          <w:szCs w:val="24"/>
          <w:lang w:val="en-US" w:eastAsia="zh-CN"/>
        </w:rPr>
        <w:t>在</w:t>
      </w:r>
      <w:r>
        <w:rPr>
          <w:rFonts w:hint="eastAsia" w:ascii="仿宋" w:hAnsi="仿宋" w:eastAsia="仿宋" w:cs="仿宋"/>
          <w:b/>
          <w:bCs/>
          <w:kern w:val="0"/>
          <w:sz w:val="24"/>
          <w:szCs w:val="24"/>
          <w:lang w:val="en-US" w:eastAsia="zh-CN"/>
        </w:rPr>
        <w:t>响应文件</w:t>
      </w:r>
      <w:r>
        <w:rPr>
          <w:rFonts w:hint="default" w:ascii="仿宋" w:hAnsi="仿宋" w:eastAsia="仿宋" w:cs="仿宋"/>
          <w:b/>
          <w:bCs/>
          <w:kern w:val="0"/>
          <w:sz w:val="24"/>
          <w:szCs w:val="24"/>
          <w:lang w:val="en-US" w:eastAsia="zh-CN"/>
        </w:rPr>
        <w:t>中列明售后联系人及联系电话。</w:t>
      </w:r>
    </w:p>
    <w:p w14:paraId="54049820">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36029F4">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w:t>
      </w:r>
      <w:r>
        <w:rPr>
          <w:rFonts w:hint="default" w:ascii="仿宋" w:hAnsi="仿宋" w:eastAsia="仿宋" w:cs="仿宋"/>
          <w:b w:val="0"/>
          <w:bCs w:val="0"/>
          <w:kern w:val="0"/>
          <w:sz w:val="24"/>
          <w:szCs w:val="24"/>
          <w:lang w:val="en-US" w:eastAsia="zh-CN"/>
        </w:rPr>
        <w:t>耗材临近失效期，采购人提前三个月向</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提出更换，</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须在耗材失效前一个月更换完毕，不得以任何理由进行推诿。</w:t>
      </w:r>
    </w:p>
    <w:p w14:paraId="12318516">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w:t>
      </w:r>
      <w:r>
        <w:rPr>
          <w:rFonts w:hint="default" w:ascii="仿宋" w:hAnsi="仿宋" w:eastAsia="仿宋" w:cs="仿宋"/>
          <w:b w:val="0"/>
          <w:bCs w:val="0"/>
          <w:kern w:val="0"/>
          <w:sz w:val="24"/>
          <w:szCs w:val="24"/>
          <w:lang w:val="en-US" w:eastAsia="zh-CN"/>
        </w:rPr>
        <w:t>必须随货提供其具备医疗器械经营企业的有关合法有效的手续（包括但不限于）：</w:t>
      </w:r>
    </w:p>
    <w:p w14:paraId="41D79A8F">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5.1</w:t>
      </w:r>
      <w:r>
        <w:rPr>
          <w:rFonts w:hint="default" w:ascii="仿宋" w:hAnsi="仿宋" w:eastAsia="仿宋" w:cs="仿宋"/>
          <w:b w:val="0"/>
          <w:bCs w:val="0"/>
          <w:kern w:val="0"/>
          <w:sz w:val="24"/>
          <w:szCs w:val="24"/>
          <w:lang w:val="en-US" w:eastAsia="zh-CN"/>
        </w:rPr>
        <w:t>产品所涉及逐级授权经销商的医疗器械生产（经营）许可证或生产（经营）企业备案表；</w:t>
      </w:r>
    </w:p>
    <w:p w14:paraId="5041F03F">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5.2</w:t>
      </w:r>
      <w:r>
        <w:rPr>
          <w:rFonts w:hint="default" w:ascii="仿宋" w:hAnsi="仿宋" w:eastAsia="仿宋" w:cs="仿宋"/>
          <w:b w:val="0"/>
          <w:bCs w:val="0"/>
          <w:kern w:val="0"/>
          <w:sz w:val="24"/>
          <w:szCs w:val="24"/>
          <w:lang w:val="en-US" w:eastAsia="zh-CN"/>
        </w:rPr>
        <w:t>医疗器械产品注册证或备案凭证；</w:t>
      </w:r>
    </w:p>
    <w:p w14:paraId="25DBB93D">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5.3</w:t>
      </w:r>
      <w:r>
        <w:rPr>
          <w:rFonts w:hint="default" w:ascii="仿宋" w:hAnsi="仿宋" w:eastAsia="仿宋" w:cs="仿宋"/>
          <w:b w:val="0"/>
          <w:bCs w:val="0"/>
          <w:kern w:val="0"/>
          <w:sz w:val="24"/>
          <w:szCs w:val="24"/>
          <w:lang w:val="en-US" w:eastAsia="zh-CN"/>
        </w:rPr>
        <w:t>医疗器械生产企业许可证；</w:t>
      </w:r>
    </w:p>
    <w:p w14:paraId="415CEF29">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5.4</w:t>
      </w:r>
      <w:r>
        <w:rPr>
          <w:rFonts w:hint="default" w:ascii="仿宋" w:hAnsi="仿宋" w:eastAsia="仿宋" w:cs="仿宋"/>
          <w:b w:val="0"/>
          <w:bCs w:val="0"/>
          <w:kern w:val="0"/>
          <w:sz w:val="24"/>
          <w:szCs w:val="24"/>
          <w:lang w:val="en-US" w:eastAsia="zh-CN"/>
        </w:rPr>
        <w:t>经销商获得的委托授权书（逐级）；</w:t>
      </w:r>
    </w:p>
    <w:p w14:paraId="0EB785DE">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5.5</w:t>
      </w:r>
      <w:r>
        <w:rPr>
          <w:rFonts w:hint="default" w:ascii="仿宋" w:hAnsi="仿宋" w:eastAsia="仿宋" w:cs="仿宋"/>
          <w:b w:val="0"/>
          <w:bCs w:val="0"/>
          <w:kern w:val="0"/>
          <w:sz w:val="24"/>
          <w:szCs w:val="24"/>
          <w:lang w:val="en-US" w:eastAsia="zh-CN"/>
        </w:rPr>
        <w:t>产品所涉及逐级授权经销商的企业法人营业执照</w:t>
      </w:r>
      <w:r>
        <w:rPr>
          <w:rFonts w:hint="eastAsia" w:ascii="仿宋" w:hAnsi="仿宋" w:eastAsia="仿宋" w:cs="仿宋"/>
          <w:b w:val="0"/>
          <w:bCs w:val="0"/>
          <w:kern w:val="0"/>
          <w:sz w:val="24"/>
          <w:szCs w:val="24"/>
          <w:lang w:val="en-US" w:eastAsia="zh-CN"/>
        </w:rPr>
        <w:t>；</w:t>
      </w:r>
    </w:p>
    <w:p w14:paraId="7A189352">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5.6</w:t>
      </w:r>
      <w:r>
        <w:rPr>
          <w:rFonts w:hint="default" w:ascii="仿宋" w:hAnsi="仿宋" w:eastAsia="仿宋" w:cs="仿宋"/>
          <w:b w:val="0"/>
          <w:bCs w:val="0"/>
          <w:kern w:val="0"/>
          <w:sz w:val="24"/>
          <w:szCs w:val="24"/>
          <w:lang w:val="en-US" w:eastAsia="zh-CN"/>
        </w:rPr>
        <w:t>采购人要求提供的相关资料。</w:t>
      </w:r>
    </w:p>
    <w:p w14:paraId="4797C1BD">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default" w:ascii="仿宋" w:hAnsi="仿宋" w:eastAsia="仿宋" w:cs="仿宋"/>
          <w:b w:val="0"/>
          <w:bCs w:val="0"/>
          <w:kern w:val="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或厂家原因无法按上述要求执行的，则采购人可以</w:t>
      </w:r>
      <w:r>
        <w:rPr>
          <w:rFonts w:hint="eastAsia" w:ascii="仿宋" w:hAnsi="仿宋" w:eastAsia="仿宋" w:cs="仿宋"/>
          <w:b w:val="0"/>
          <w:bCs w:val="0"/>
          <w:kern w:val="0"/>
          <w:sz w:val="24"/>
          <w:szCs w:val="24"/>
          <w:lang w:val="en-US" w:eastAsia="zh-CN"/>
        </w:rPr>
        <w:t>部分</w:t>
      </w:r>
      <w:r>
        <w:rPr>
          <w:rFonts w:hint="default" w:ascii="仿宋" w:hAnsi="仿宋" w:eastAsia="仿宋" w:cs="仿宋"/>
          <w:b w:val="0"/>
          <w:bCs w:val="0"/>
          <w:kern w:val="0"/>
          <w:sz w:val="24"/>
          <w:szCs w:val="24"/>
          <w:lang w:val="en-US" w:eastAsia="zh-CN"/>
        </w:rPr>
        <w:t>解除</w:t>
      </w:r>
      <w:r>
        <w:rPr>
          <w:rFonts w:hint="eastAsia" w:ascii="仿宋" w:hAnsi="仿宋" w:eastAsia="仿宋" w:cs="仿宋"/>
          <w:b w:val="0"/>
          <w:bCs w:val="0"/>
          <w:kern w:val="0"/>
          <w:sz w:val="24"/>
          <w:szCs w:val="24"/>
          <w:lang w:val="en-US" w:eastAsia="zh-CN"/>
        </w:rPr>
        <w:t>采购合同</w:t>
      </w:r>
      <w:r>
        <w:rPr>
          <w:rFonts w:hint="default" w:ascii="仿宋" w:hAnsi="仿宋" w:eastAsia="仿宋" w:cs="仿宋"/>
          <w:b w:val="0"/>
          <w:bCs w:val="0"/>
          <w:kern w:val="0"/>
          <w:sz w:val="24"/>
          <w:szCs w:val="24"/>
          <w:lang w:val="en-US" w:eastAsia="zh-CN"/>
        </w:rPr>
        <w:t>。</w:t>
      </w:r>
    </w:p>
    <w:p w14:paraId="61CB799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（六）配送医用耗材质量保证</w:t>
      </w:r>
    </w:p>
    <w:p w14:paraId="0F74FC9F">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1.成交供应商须配送原厂生产的未曾使用过的、全新的合格的货品（含配套配件等），表面无划伤、无破损痕迹，且权属清楚，不得侵害他人的合法权利。</w:t>
      </w:r>
    </w:p>
    <w:p w14:paraId="1D36D611">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所配送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17780D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3.成交供应商配送货品的设计技术专利、外形专利等均应符合我国有关法律法规及行业标准，凡因以上问题与第三方发生的任何纠纷，由成交供应商承担全部责任，成交供应商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b w:val="0"/>
          <w:bCs w:val="0"/>
          <w:kern w:val="0"/>
          <w:sz w:val="24"/>
          <w:szCs w:val="24"/>
          <w:lang w:val="en-US" w:eastAsia="zh-Hans"/>
        </w:rPr>
        <w:t>还应</w:t>
      </w:r>
      <w:r>
        <w:rPr>
          <w:rFonts w:hint="eastAsia" w:ascii="仿宋" w:hAnsi="仿宋" w:eastAsia="仿宋" w:cs="仿宋"/>
          <w:b w:val="0"/>
          <w:bCs w:val="0"/>
          <w:kern w:val="0"/>
          <w:sz w:val="24"/>
          <w:szCs w:val="24"/>
          <w:lang w:val="en-US" w:eastAsia="zh-CN"/>
        </w:rPr>
        <w:t>负责赔偿采购人由此而遭受的全部损失。</w:t>
      </w:r>
    </w:p>
    <w:p w14:paraId="2CEB5C75">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4.成交供应商保证其配送货品的安全可靠性。在正常使用下不应对使用者造成任何人身伤害，如因产品质量或标示不明确而对使用者造成损失的，由成交供应商承担相应责任。</w:t>
      </w:r>
    </w:p>
    <w:p w14:paraId="06B927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B534E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6.成交供应商保证所供耗材有效期不低于1年，自通过最终验收之日起，确保采购人在使用耗材的过程中安全、有效。</w:t>
      </w:r>
    </w:p>
    <w:p w14:paraId="4D229B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（七）包装和运输</w:t>
      </w:r>
    </w:p>
    <w:p w14:paraId="55B420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1.成交供应商须严格按照《商品包装政府采购需求标准(试行)》、《快递包装政府采购需求标准(试行)》(财办库〔2020〕123 号)的要求进行产品及相关快递服务的包装。 </w:t>
      </w:r>
    </w:p>
    <w:p w14:paraId="33C35C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0E87D8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3.本次采购的标的物需要运输，成交供应商在合同约定的时间内将标的物运输至合同约定地点。</w:t>
      </w:r>
    </w:p>
    <w:p w14:paraId="02D5D9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（八）成交供应商</w:t>
      </w:r>
      <w:r>
        <w:rPr>
          <w:rFonts w:hint="default" w:ascii="仿宋" w:hAnsi="仿宋" w:eastAsia="仿宋" w:cs="仿宋"/>
          <w:b w:val="0"/>
          <w:bCs w:val="0"/>
          <w:kern w:val="0"/>
          <w:sz w:val="24"/>
          <w:szCs w:val="24"/>
          <w:lang w:val="en-US" w:eastAsia="zh-CN"/>
        </w:rPr>
        <w:t>配送的产品若发生严重医疗不良事件或被国家法定检测机构检测为不合格产品的次数超过两次，或履约过程中发现采购资料存在提供虚假材料（包括但不限于虚假的第三方检验报告、资质文件、证明材料）以谋取成交的（采购人将同时按照《中华人民共和国政府采购法》第七十七条第一款规定，依法上报财政部门追究其违法行为），视为供应商违约导致不能实现本合同目的，采购人有权单方面解除本合同，并要求供应商限期收回不合格产品，同时供应商须承担合同总金额20%的违约金，违约金不足以承担采购人损失的，供应商还应当承担采购人的损失赔偿责任。即使产品是在验收入库后采购人才发现产品不合格的，也视为供应商违约，供应商应当承担本条约定的责任，同时采购人有权退回库存产品。</w:t>
      </w:r>
    </w:p>
    <w:p w14:paraId="23E5A2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p>
    <w:p w14:paraId="6DFFD831">
      <w:pPr>
        <w:pStyle w:val="6"/>
        <w:spacing w:line="240" w:lineRule="auto"/>
        <w:jc w:val="left"/>
        <w:outlineLvl w:val="1"/>
        <w:rPr>
          <w:rFonts w:hint="eastAsia" w:ascii="仿宋" w:hAnsi="仿宋" w:eastAsia="仿宋" w:cs="仿宋"/>
        </w:rPr>
      </w:pPr>
      <w:r>
        <w:rPr>
          <w:rFonts w:hint="eastAsia" w:ascii="仿宋" w:hAnsi="仿宋" w:eastAsia="仿宋" w:cs="仿宋"/>
          <w:b/>
          <w:sz w:val="28"/>
        </w:rPr>
        <w:t>3.</w:t>
      </w:r>
      <w:r>
        <w:rPr>
          <w:rFonts w:hint="eastAsia" w:ascii="仿宋" w:hAnsi="仿宋" w:eastAsia="仿宋" w:cs="仿宋"/>
          <w:b/>
          <w:sz w:val="28"/>
          <w:lang w:val="en-US" w:eastAsia="zh-CN"/>
        </w:rPr>
        <w:t>4</w:t>
      </w:r>
      <w:r>
        <w:rPr>
          <w:rFonts w:hint="eastAsia" w:ascii="仿宋" w:hAnsi="仿宋" w:eastAsia="仿宋" w:cs="仿宋"/>
          <w:b/>
          <w:sz w:val="28"/>
        </w:rPr>
        <w:t>.其他要求</w:t>
      </w:r>
    </w:p>
    <w:p w14:paraId="13758BE0">
      <w:pPr>
        <w:pStyle w:val="6"/>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52ACA7CE">
      <w:pPr>
        <w:pStyle w:val="6"/>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5FB77A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w:t>
      </w:r>
      <w:r>
        <w:rPr>
          <w:rFonts w:hint="default" w:ascii="仿宋" w:hAnsi="仿宋" w:eastAsia="仿宋" w:cs="仿宋"/>
          <w:b w:val="0"/>
          <w:bCs w:val="0"/>
          <w:kern w:val="0"/>
          <w:sz w:val="24"/>
          <w:szCs w:val="24"/>
          <w:lang w:val="en-US" w:eastAsia="zh-CN"/>
        </w:rPr>
        <w:t>逾期15日内不能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采购人所需医用耗材的，应向采购人每日支付该批次货款千分之三的违约金。</w:t>
      </w:r>
    </w:p>
    <w:p w14:paraId="555E6E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w:t>
      </w:r>
      <w:r>
        <w:rPr>
          <w:rFonts w:hint="default" w:ascii="仿宋" w:hAnsi="仿宋" w:eastAsia="仿宋" w:cs="仿宋"/>
          <w:b w:val="0"/>
          <w:bCs w:val="0"/>
          <w:kern w:val="0"/>
          <w:sz w:val="24"/>
          <w:szCs w:val="24"/>
          <w:lang w:val="en-US" w:eastAsia="zh-CN"/>
        </w:rPr>
        <w:t>逾期15日及以上不能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以上产品的，视同不能供货，须向采购人支付该批次货款的10%的违约金，同时采购人可以单方面解除采购合同。</w:t>
      </w:r>
    </w:p>
    <w:p w14:paraId="7A948A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原因造成采购人被监管部门通报三次及以上的或者造成采购人违规采购，采购人有权单方面解除采购合同。同时，采购人有权要求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w:t>
      </w:r>
    </w:p>
    <w:p w14:paraId="7BFA3B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（4）成交供应商配送</w:t>
      </w:r>
      <w:r>
        <w:rPr>
          <w:rFonts w:hint="default" w:ascii="仿宋" w:hAnsi="仿宋" w:eastAsia="仿宋" w:cs="仿宋"/>
          <w:b w:val="0"/>
          <w:bCs w:val="0"/>
          <w:kern w:val="0"/>
          <w:sz w:val="24"/>
          <w:szCs w:val="24"/>
          <w:lang w:val="en-US" w:eastAsia="zh-CN"/>
        </w:rPr>
        <w:t>的产品若发生严重医疗不良事件或被国家法定检测机构检测为不合格产品，视为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违约导致不能实现采购合同目的，采购人有权单方面解除采购合同，并要求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限期收回不合格产品，并要求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需承担合同价款20%的违约金，违约金不足以弥补采购人损失的，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还应当承补足。即使产品已经验收入库（或安装调试完毕）后，采购人才发现产品为不合格产品的，也视为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应当承担本条约定的责任。同时采购人有权退回库存产品。</w:t>
      </w:r>
    </w:p>
    <w:p w14:paraId="63785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w:t>
      </w:r>
      <w:r>
        <w:rPr>
          <w:rFonts w:hint="default" w:ascii="仿宋" w:hAnsi="仿宋" w:eastAsia="仿宋" w:cs="仿宋"/>
          <w:b w:val="0"/>
          <w:bCs w:val="0"/>
          <w:kern w:val="0"/>
          <w:sz w:val="24"/>
          <w:szCs w:val="24"/>
          <w:lang w:val="en-US" w:eastAsia="zh-CN"/>
        </w:rPr>
        <w:t>若根据法律规定或本协议约定产生采购人退、换货或拒绝收货情形，由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承担退换货产生的各项税、费或其他支出。</w:t>
      </w:r>
    </w:p>
    <w:p w14:paraId="7C5827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w:t>
      </w:r>
      <w:r>
        <w:rPr>
          <w:rFonts w:hint="default" w:ascii="仿宋" w:hAnsi="仿宋" w:eastAsia="仿宋" w:cs="仿宋"/>
          <w:b w:val="0"/>
          <w:bCs w:val="0"/>
          <w:kern w:val="0"/>
          <w:sz w:val="24"/>
          <w:szCs w:val="24"/>
          <w:lang w:val="en-US" w:eastAsia="zh-CN"/>
        </w:rPr>
        <w:t>不能保证及时供货，除应当向采购人承担违约责任外，采购人仍有权单方面解除采购合同。</w:t>
      </w:r>
    </w:p>
    <w:p w14:paraId="68D68F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（7）</w:t>
      </w:r>
      <w:r>
        <w:rPr>
          <w:rFonts w:hint="default" w:ascii="仿宋" w:hAnsi="仿宋" w:eastAsia="仿宋" w:cs="仿宋"/>
          <w:b w:val="0"/>
          <w:bCs w:val="0"/>
          <w:kern w:val="0"/>
          <w:sz w:val="24"/>
          <w:szCs w:val="24"/>
          <w:lang w:val="en-US" w:eastAsia="zh-CN"/>
        </w:rPr>
        <w:t>因</w:t>
      </w:r>
      <w:r>
        <w:rPr>
          <w:rFonts w:hint="eastAsia" w:ascii="仿宋" w:hAnsi="仿宋" w:eastAsia="仿宋" w:cs="仿宋"/>
          <w:b w:val="0"/>
          <w:bCs w:val="0"/>
          <w:kern w:val="0"/>
          <w:sz w:val="24"/>
          <w:szCs w:val="24"/>
          <w:lang w:val="en-US" w:eastAsia="zh-CN"/>
        </w:rPr>
        <w:t>成交供应商配送</w:t>
      </w:r>
      <w:r>
        <w:rPr>
          <w:rFonts w:hint="default" w:ascii="仿宋" w:hAnsi="仿宋" w:eastAsia="仿宋" w:cs="仿宋"/>
          <w:b w:val="0"/>
          <w:bCs w:val="0"/>
          <w:kern w:val="0"/>
          <w:sz w:val="24"/>
          <w:szCs w:val="24"/>
          <w:lang w:val="en-US" w:eastAsia="zh-CN"/>
        </w:rPr>
        <w:t>的产品不合格造成采购人或第三人人身损害或财产损失的，由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承担赔偿责任。</w:t>
      </w:r>
    </w:p>
    <w:p w14:paraId="51D5AB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（8）</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原因造成采购人挂网执行存在问题以及线上支付不及时、造成采购人未挂网采购的或者存在其他问题的，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应承担违约责任，且采购人有权要求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支付该批货物价款20%的违约金，采购人有权单方面解除合同。</w:t>
      </w:r>
    </w:p>
    <w:p w14:paraId="12E343C6">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1.2解决合同纠纷的方式</w:t>
      </w:r>
    </w:p>
    <w:p w14:paraId="5E66BC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w:t>
      </w:r>
    </w:p>
    <w:p w14:paraId="3BB2BC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合同履行期间，若双方发生争议，可协商或由有关部门调解解决，协商或调解不成的，可向采购人所在地人民法院依法提起诉讼。</w:t>
      </w:r>
    </w:p>
    <w:p w14:paraId="38C49C1B">
      <w:pPr>
        <w:pStyle w:val="6"/>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2.合同</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2</w:t>
      </w:r>
      <w:r>
        <w:rPr>
          <w:rFonts w:hint="eastAsia" w:ascii="Times New Roman" w:hAnsi="Times New Roman" w:eastAsia="仿宋" w:cs="Times New Roman"/>
          <w:color w:val="auto"/>
          <w:sz w:val="24"/>
          <w:szCs w:val="24"/>
          <w:highlight w:val="none"/>
          <w:shd w:val="clear" w:color="auto" w:fill="auto"/>
          <w:lang w:val="en-US" w:eastAsia="zh-CN"/>
        </w:rPr>
        <w:t>年。</w:t>
      </w:r>
    </w:p>
    <w:p w14:paraId="6EAA1706">
      <w:pPr>
        <w:pStyle w:val="6"/>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3.合同支付约定：</w:t>
      </w:r>
      <w:r>
        <w:rPr>
          <w:rFonts w:hint="eastAsia" w:ascii="仿宋" w:hAnsi="仿宋" w:eastAsia="仿宋" w:cs="仿宋"/>
          <w:color w:val="000000"/>
          <w:kern w:val="0"/>
          <w:sz w:val="24"/>
          <w:szCs w:val="24"/>
          <w:u w:val="none"/>
          <w:lang w:val="en-US" w:eastAsia="zh-CN" w:bidi="ar"/>
        </w:rPr>
        <w:t>双方协商确定。</w:t>
      </w:r>
    </w:p>
    <w:p w14:paraId="55626DF7">
      <w:pPr>
        <w:pStyle w:val="6"/>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4"/>
          <w:szCs w:val="24"/>
          <w:u w:val="none"/>
          <w:lang w:val="en-US" w:eastAsia="zh-CN" w:bidi="ar"/>
        </w:rPr>
        <w:t>分批次验收。</w:t>
      </w:r>
    </w:p>
    <w:p w14:paraId="62DDFAEF">
      <w:pPr>
        <w:pStyle w:val="6"/>
        <w:spacing w:line="312" w:lineRule="auto"/>
        <w:ind w:firstLine="480"/>
        <w:jc w:val="left"/>
        <w:rPr>
          <w:rFonts w:hint="default"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b w:val="0"/>
          <w:bCs w:val="0"/>
          <w:sz w:val="24"/>
          <w:szCs w:val="24"/>
          <w:lang w:val="en-US" w:eastAsia="zh-CN"/>
        </w:rPr>
        <w:t>合同期限内，根据采购人要求分批次送货，完成送货、验收入库视为验收完成。</w:t>
      </w:r>
    </w:p>
    <w:p w14:paraId="28CCA008">
      <w:pPr>
        <w:pStyle w:val="6"/>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6.技术履约验收内容：</w:t>
      </w:r>
      <w:r>
        <w:rPr>
          <w:rFonts w:hint="eastAsia" w:ascii="仿宋" w:hAnsi="仿宋" w:eastAsia="仿宋" w:cs="仿宋"/>
          <w:b w:val="0"/>
          <w:bCs w:val="0"/>
          <w:sz w:val="24"/>
          <w:szCs w:val="24"/>
          <w:lang w:val="en-US" w:eastAsia="zh-CN"/>
        </w:rPr>
        <w:t>采购人按照本项目技术要求进行验收。</w:t>
      </w:r>
    </w:p>
    <w:p w14:paraId="1EADC8FD">
      <w:pPr>
        <w:pStyle w:val="6"/>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7.商务履约验收内容：</w:t>
      </w:r>
      <w:r>
        <w:rPr>
          <w:rFonts w:hint="eastAsia" w:ascii="仿宋" w:hAnsi="仿宋" w:eastAsia="仿宋" w:cs="仿宋"/>
          <w:b w:val="0"/>
          <w:bCs w:val="0"/>
          <w:sz w:val="24"/>
          <w:szCs w:val="24"/>
          <w:lang w:val="en-US" w:eastAsia="zh-CN"/>
        </w:rPr>
        <w:t>采购人按照本项目商务要求进行验收。</w:t>
      </w:r>
    </w:p>
    <w:p w14:paraId="4259A94F">
      <w:pPr>
        <w:ind w:firstLine="482" w:firstLineChars="200"/>
      </w:pPr>
      <w:r>
        <w:rPr>
          <w:rFonts w:hint="eastAsia" w:ascii="仿宋" w:hAnsi="仿宋" w:eastAsia="仿宋" w:cs="仿宋"/>
          <w:b/>
          <w:bCs/>
          <w:sz w:val="24"/>
          <w:szCs w:val="24"/>
          <w:lang w:val="en-US" w:eastAsia="zh-CN"/>
        </w:rPr>
        <w:t>8.履约验收标准：</w:t>
      </w:r>
      <w:r>
        <w:rPr>
          <w:rFonts w:hint="eastAsia" w:ascii="仿宋" w:hAnsi="仿宋" w:eastAsia="仿宋" w:cs="仿宋"/>
          <w:b w:val="0"/>
          <w:bCs w:val="0"/>
          <w:sz w:val="24"/>
          <w:szCs w:val="24"/>
          <w:lang w:val="en-US" w:eastAsia="zh-CN"/>
        </w:rPr>
        <w:t>采购人按照本项目合同要求进行验收。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114EDE"/>
    <w:rsid w:val="706728F5"/>
    <w:rsid w:val="709B394E"/>
    <w:rsid w:val="70A94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4680</Words>
  <Characters>4869</Characters>
  <Lines>0</Lines>
  <Paragraphs>0</Paragraphs>
  <TotalTime>0</TotalTime>
  <ScaleCrop>false</ScaleCrop>
  <LinksUpToDate>false</LinksUpToDate>
  <CharactersWithSpaces>4874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2025-08-15T07:22:00Z</dcterms:created>
  <dc:creator>Administrator</dc:creator>
  <cp:lastModifiedBy>郑yueJun</cp:lastModifiedBy>
  <dcterms:modified xsi:type="dcterms:W3CDTF">2025-09-01T09:33:41Z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eyJoZGlkIjoiOTBmMjQxZDZmNWJlYmNlNmRlNTQ2ZDgxODI1YWI3YTIiLCJ1c2VySWQiOiI5NzExMDY4NjMifQ==</vt:lpwstr>
  </property>
  <property fmtid="{D5CDD505-2E9C-101B-9397-08002B2CF9AE}" pid="4" name="ICV">
    <vt:lpwstr>E5F2AF5EE2F24407946B3CE3D82871CD_13</vt:lpwstr>
  </property>
</Properties>
</file>