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BE12C">
      <w:pPr>
        <w:pStyle w:val="7"/>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3E3ED903">
      <w:pPr>
        <w:pStyle w:val="7"/>
        <w:jc w:val="left"/>
        <w:outlineLvl w:val="9"/>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p>
    <w:p w14:paraId="51C2D8B2">
      <w:pPr>
        <w:pStyle w:val="7"/>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05"/>
        <w:gridCol w:w="705"/>
        <w:gridCol w:w="1755"/>
        <w:gridCol w:w="1654"/>
        <w:gridCol w:w="712"/>
        <w:gridCol w:w="1154"/>
        <w:gridCol w:w="1861"/>
      </w:tblGrid>
      <w:tr w14:paraId="0410C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D6C1468">
            <w:pPr>
              <w:spacing w:line="240" w:lineRule="auto"/>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C06AE19">
            <w:pPr>
              <w:spacing w:line="240" w:lineRule="auto"/>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175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6FE0626">
            <w:pPr>
              <w:spacing w:line="240" w:lineRule="auto"/>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165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D3B09CD">
            <w:pPr>
              <w:spacing w:line="240" w:lineRule="auto"/>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单价最高限价（元）</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84E54C0">
            <w:pPr>
              <w:spacing w:line="240" w:lineRule="auto"/>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1441CA9">
            <w:pPr>
              <w:spacing w:line="240" w:lineRule="auto"/>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EDB58F2">
            <w:pPr>
              <w:spacing w:line="240" w:lineRule="auto"/>
              <w:jc w:val="center"/>
              <w:rPr>
                <w:rFonts w:hint="default" w:ascii="仿宋" w:hAnsi="仿宋" w:eastAsia="仿宋" w:cs="仿宋"/>
                <w:sz w:val="24"/>
                <w:szCs w:val="24"/>
                <w:highlight w:val="none"/>
                <w:lang w:val="en-US" w:eastAsia="zh-CN"/>
              </w:rPr>
            </w:pPr>
            <w:r>
              <w:rPr>
                <w:rFonts w:hint="eastAsia" w:ascii="仿宋" w:hAnsi="仿宋" w:eastAsia="仿宋" w:cs="仿宋"/>
                <w:b/>
                <w:bCs/>
                <w:color w:val="auto"/>
                <w:sz w:val="24"/>
                <w:szCs w:val="24"/>
                <w:highlight w:val="none"/>
                <w:shd w:val="clear" w:color="auto" w:fill="auto"/>
                <w:lang w:val="en-US" w:eastAsia="zh-CN"/>
              </w:rPr>
              <w:t>最高限价（元）</w:t>
            </w:r>
          </w:p>
        </w:tc>
      </w:tr>
      <w:tr w14:paraId="3E23C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4FD5A2">
            <w:pPr>
              <w:spacing w:line="240" w:lineRule="auto"/>
              <w:jc w:val="center"/>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1B1B52">
            <w:pPr>
              <w:keepNext w:val="0"/>
              <w:keepLines w:val="0"/>
              <w:widowControl/>
              <w:suppressLineNumbers w:val="0"/>
              <w:spacing w:line="240" w:lineRule="auto"/>
              <w:jc w:val="center"/>
              <w:textAlignment w:val="center"/>
              <w:rPr>
                <w:rFonts w:hint="eastAsia" w:ascii="仿宋" w:hAnsi="仿宋" w:eastAsia="仿宋" w:cs="仿宋"/>
                <w:b w:val="0"/>
                <w:bCs w:val="0"/>
                <w:color w:val="auto"/>
                <w:sz w:val="22"/>
                <w:szCs w:val="22"/>
                <w:highlight w:val="none"/>
                <w:shd w:val="clear" w:color="auto" w:fill="auto"/>
                <w:lang w:val="en-US" w:eastAsia="zh-CN"/>
              </w:rPr>
            </w:pPr>
            <w:r>
              <w:rPr>
                <w:rFonts w:hint="eastAsia" w:ascii="仿宋" w:hAnsi="仿宋" w:eastAsia="仿宋" w:cs="仿宋"/>
                <w:i w:val="0"/>
                <w:iCs w:val="0"/>
                <w:color w:val="000000"/>
                <w:kern w:val="0"/>
                <w:sz w:val="22"/>
                <w:szCs w:val="22"/>
                <w:highlight w:val="none"/>
                <w:u w:val="none"/>
                <w:lang w:val="en-US" w:eastAsia="zh-CN" w:bidi="ar"/>
              </w:rPr>
              <w:t>1</w:t>
            </w:r>
          </w:p>
        </w:tc>
        <w:tc>
          <w:tcPr>
            <w:tcW w:w="175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CAAA4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鼻腔止血海绵</w:t>
            </w:r>
          </w:p>
        </w:tc>
        <w:tc>
          <w:tcPr>
            <w:tcW w:w="165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CA3CB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52</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519621">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700</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9A711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片</w:t>
            </w:r>
          </w:p>
        </w:tc>
        <w:tc>
          <w:tcPr>
            <w:tcW w:w="0" w:type="auto"/>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1E2B9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36400</w:t>
            </w:r>
          </w:p>
        </w:tc>
      </w:tr>
    </w:tbl>
    <w:p w14:paraId="74DB9CCD">
      <w:pPr>
        <w:pStyle w:val="7"/>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5B7A6FDE">
      <w:pPr>
        <w:pStyle w:val="7"/>
        <w:jc w:val="left"/>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rPr>
        <w:t>3.2.</w:t>
      </w:r>
      <w:r>
        <w:rPr>
          <w:rFonts w:hint="eastAsia" w:ascii="仿宋" w:hAnsi="仿宋" w:eastAsia="仿宋" w:cs="仿宋"/>
          <w:b/>
          <w:sz w:val="28"/>
          <w:highlight w:val="none"/>
          <w:lang w:val="en-US" w:eastAsia="zh-CN"/>
        </w:rPr>
        <w:t>服务内容及要求</w:t>
      </w:r>
    </w:p>
    <w:p w14:paraId="586DD923">
      <w:pPr>
        <w:pStyle w:val="7"/>
        <w:jc w:val="left"/>
        <w:outlineLvl w:val="9"/>
        <w:rPr>
          <w:rFonts w:hint="default" w:ascii="仿宋" w:hAnsi="仿宋" w:eastAsia="仿宋" w:cs="仿宋"/>
          <w:b/>
          <w:sz w:val="28"/>
          <w:highlight w:val="none"/>
          <w:lang w:val="en-US" w:eastAsia="zh-CN"/>
        </w:rPr>
      </w:pPr>
      <w:r>
        <w:rPr>
          <w:rFonts w:hint="eastAsia" w:ascii="仿宋" w:hAnsi="仿宋" w:eastAsia="仿宋" w:cs="仿宋"/>
          <w:b/>
          <w:sz w:val="28"/>
          <w:highlight w:val="none"/>
          <w:lang w:val="en-US" w:eastAsia="zh-CN"/>
        </w:rPr>
        <w:t>采购包1：</w:t>
      </w:r>
    </w:p>
    <w:p w14:paraId="52D1CBB3">
      <w:pPr>
        <w:keepNext w:val="0"/>
        <w:keepLines w:val="0"/>
        <w:pageBreakBefore w:val="0"/>
        <w:widowControl/>
        <w:numPr>
          <w:ilvl w:val="0"/>
          <w:numId w:val="0"/>
        </w:numPr>
        <w:kinsoku/>
        <w:wordWrap w:val="0"/>
        <w:overflowPunct/>
        <w:topLinePunct/>
        <w:autoSpaceDE/>
        <w:autoSpaceDN/>
        <w:bidi w:val="0"/>
        <w:adjustRightInd/>
        <w:snapToGrid/>
        <w:spacing w:line="240" w:lineRule="auto"/>
        <w:ind w:firstLine="0" w:firstLineChars="0"/>
        <w:jc w:val="left"/>
        <w:textAlignment w:val="auto"/>
        <w:rPr>
          <w:rFonts w:hint="default" w:ascii="仿宋" w:hAnsi="仿宋" w:eastAsia="仿宋" w:cs="仿宋"/>
          <w:b/>
          <w:bCs/>
          <w:color w:val="auto"/>
          <w:kern w:val="2"/>
          <w:sz w:val="24"/>
          <w:szCs w:val="24"/>
          <w:highlight w:val="none"/>
          <w:shd w:val="clear" w:color="auto" w:fill="auto"/>
          <w:lang w:val="en-US" w:eastAsia="zh-CN" w:bidi="ar-SA"/>
        </w:rPr>
      </w:pPr>
      <w:r>
        <w:rPr>
          <w:rFonts w:hint="eastAsia" w:ascii="仿宋" w:hAnsi="仿宋" w:eastAsia="仿宋" w:cs="仿宋"/>
          <w:b/>
          <w:bCs/>
          <w:color w:val="auto"/>
          <w:kern w:val="2"/>
          <w:sz w:val="24"/>
          <w:szCs w:val="24"/>
          <w:highlight w:val="none"/>
          <w:shd w:val="clear" w:color="auto" w:fill="auto"/>
          <w:lang w:val="en-US" w:eastAsia="zh-CN" w:bidi="ar-SA"/>
        </w:rPr>
        <w:t>一、内容及要求：</w:t>
      </w:r>
    </w:p>
    <w:tbl>
      <w:tblPr>
        <w:tblStyle w:val="5"/>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32"/>
        <w:gridCol w:w="1172"/>
        <w:gridCol w:w="3628"/>
        <w:gridCol w:w="2051"/>
      </w:tblGrid>
      <w:tr w14:paraId="5973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noWrap w:val="0"/>
            <w:vAlign w:val="center"/>
          </w:tcPr>
          <w:p w14:paraId="322CFC66">
            <w:pPr>
              <w:numPr>
                <w:ilvl w:val="0"/>
                <w:numId w:val="0"/>
              </w:numPr>
              <w:spacing w:line="240" w:lineRule="auto"/>
              <w:jc w:val="center"/>
              <w:rPr>
                <w:rFonts w:hint="eastAsia" w:ascii="仿宋" w:hAnsi="仿宋" w:eastAsia="仿宋" w:cs="仿宋"/>
                <w:b/>
                <w:bCs/>
                <w:color w:val="auto"/>
                <w:sz w:val="20"/>
                <w:szCs w:val="20"/>
                <w:highlight w:val="none"/>
                <w:shd w:val="clear" w:color="auto" w:fill="auto"/>
                <w:vertAlign w:val="baseline"/>
                <w:lang w:val="en-US" w:eastAsia="zh-CN"/>
              </w:rPr>
            </w:pPr>
            <w:r>
              <w:rPr>
                <w:rFonts w:hint="eastAsia" w:ascii="仿宋" w:hAnsi="仿宋" w:eastAsia="仿宋" w:cs="仿宋"/>
                <w:b/>
                <w:bCs/>
                <w:color w:val="auto"/>
                <w:sz w:val="20"/>
                <w:szCs w:val="20"/>
                <w:highlight w:val="none"/>
                <w:shd w:val="clear" w:color="auto" w:fill="auto"/>
                <w:vertAlign w:val="baseline"/>
                <w:lang w:val="en-US" w:eastAsia="zh-CN"/>
              </w:rPr>
              <w:t>包号编号</w:t>
            </w:r>
          </w:p>
        </w:tc>
        <w:tc>
          <w:tcPr>
            <w:tcW w:w="1132" w:type="dxa"/>
            <w:noWrap w:val="0"/>
            <w:vAlign w:val="center"/>
          </w:tcPr>
          <w:p w14:paraId="02C61967">
            <w:pPr>
              <w:numPr>
                <w:ilvl w:val="0"/>
                <w:numId w:val="0"/>
              </w:numPr>
              <w:spacing w:line="240" w:lineRule="auto"/>
              <w:jc w:val="center"/>
              <w:rPr>
                <w:rFonts w:hint="eastAsia" w:ascii="仿宋" w:hAnsi="仿宋" w:eastAsia="仿宋" w:cs="仿宋"/>
                <w:b/>
                <w:bCs/>
                <w:color w:val="auto"/>
                <w:sz w:val="20"/>
                <w:szCs w:val="20"/>
                <w:highlight w:val="none"/>
                <w:shd w:val="clear" w:color="auto" w:fill="auto"/>
                <w:vertAlign w:val="baseline"/>
                <w:lang w:val="en-US" w:eastAsia="zh-CN"/>
              </w:rPr>
            </w:pPr>
            <w:r>
              <w:rPr>
                <w:rFonts w:hint="eastAsia" w:ascii="仿宋" w:hAnsi="仿宋" w:eastAsia="仿宋" w:cs="仿宋"/>
                <w:b/>
                <w:bCs/>
                <w:color w:val="auto"/>
                <w:sz w:val="20"/>
                <w:szCs w:val="20"/>
                <w:highlight w:val="none"/>
                <w:shd w:val="clear" w:color="auto" w:fill="auto"/>
                <w:vertAlign w:val="baseline"/>
                <w:lang w:val="en-US" w:eastAsia="zh-CN"/>
              </w:rPr>
              <w:t>名称</w:t>
            </w:r>
          </w:p>
        </w:tc>
        <w:tc>
          <w:tcPr>
            <w:tcW w:w="1172" w:type="dxa"/>
            <w:noWrap w:val="0"/>
            <w:vAlign w:val="center"/>
          </w:tcPr>
          <w:p w14:paraId="38AECF97">
            <w:pPr>
              <w:numPr>
                <w:ilvl w:val="0"/>
                <w:numId w:val="0"/>
              </w:numPr>
              <w:spacing w:line="240" w:lineRule="auto"/>
              <w:jc w:val="center"/>
              <w:rPr>
                <w:rFonts w:hint="eastAsia" w:ascii="仿宋" w:hAnsi="仿宋" w:eastAsia="仿宋" w:cs="仿宋"/>
                <w:b/>
                <w:bCs/>
                <w:color w:val="auto"/>
                <w:sz w:val="20"/>
                <w:szCs w:val="20"/>
                <w:highlight w:val="none"/>
                <w:shd w:val="clear" w:color="auto" w:fill="auto"/>
                <w:vertAlign w:val="baseline"/>
                <w:lang w:val="en-US" w:eastAsia="zh-CN"/>
              </w:rPr>
            </w:pPr>
            <w:r>
              <w:rPr>
                <w:rFonts w:hint="eastAsia" w:ascii="仿宋" w:hAnsi="仿宋" w:eastAsia="仿宋" w:cs="仿宋"/>
                <w:b/>
                <w:bCs/>
                <w:color w:val="auto"/>
                <w:sz w:val="20"/>
                <w:szCs w:val="20"/>
                <w:highlight w:val="none"/>
                <w:shd w:val="clear" w:color="auto" w:fill="auto"/>
                <w:vertAlign w:val="baseline"/>
                <w:lang w:val="en-US" w:eastAsia="zh-CN"/>
              </w:rPr>
              <w:t>★医保耗材代码</w:t>
            </w:r>
          </w:p>
        </w:tc>
        <w:tc>
          <w:tcPr>
            <w:tcW w:w="3628" w:type="dxa"/>
            <w:noWrap w:val="0"/>
            <w:vAlign w:val="center"/>
          </w:tcPr>
          <w:p w14:paraId="561D2035">
            <w:pPr>
              <w:numPr>
                <w:ilvl w:val="0"/>
                <w:numId w:val="0"/>
              </w:numPr>
              <w:spacing w:line="240" w:lineRule="auto"/>
              <w:jc w:val="center"/>
              <w:rPr>
                <w:rFonts w:hint="eastAsia" w:ascii="仿宋" w:hAnsi="仿宋" w:eastAsia="仿宋" w:cs="仿宋"/>
                <w:b/>
                <w:bCs/>
                <w:color w:val="auto"/>
                <w:sz w:val="20"/>
                <w:szCs w:val="20"/>
                <w:highlight w:val="none"/>
                <w:shd w:val="clear" w:color="auto" w:fill="auto"/>
                <w:vertAlign w:val="baseline"/>
                <w:lang w:val="en-US" w:eastAsia="zh-CN"/>
              </w:rPr>
            </w:pPr>
            <w:r>
              <w:rPr>
                <w:rFonts w:hint="eastAsia" w:ascii="仿宋" w:hAnsi="仿宋" w:eastAsia="仿宋" w:cs="仿宋"/>
                <w:b/>
                <w:bCs/>
                <w:color w:val="auto"/>
                <w:sz w:val="20"/>
                <w:szCs w:val="20"/>
                <w:highlight w:val="none"/>
                <w:shd w:val="clear" w:color="auto" w:fill="auto"/>
                <w:vertAlign w:val="baseline"/>
                <w:lang w:val="en-US" w:eastAsia="zh-CN"/>
              </w:rPr>
              <w:t>★预期用途</w:t>
            </w:r>
          </w:p>
        </w:tc>
        <w:tc>
          <w:tcPr>
            <w:tcW w:w="2051" w:type="dxa"/>
            <w:noWrap w:val="0"/>
            <w:vAlign w:val="center"/>
          </w:tcPr>
          <w:p w14:paraId="6FB68EAD">
            <w:pPr>
              <w:numPr>
                <w:ilvl w:val="0"/>
                <w:numId w:val="0"/>
              </w:numPr>
              <w:spacing w:line="240" w:lineRule="auto"/>
              <w:jc w:val="center"/>
              <w:rPr>
                <w:rFonts w:hint="eastAsia" w:ascii="仿宋" w:hAnsi="仿宋" w:eastAsia="仿宋" w:cs="仿宋"/>
                <w:b/>
                <w:bCs/>
                <w:color w:val="auto"/>
                <w:sz w:val="20"/>
                <w:szCs w:val="20"/>
                <w:highlight w:val="none"/>
                <w:shd w:val="clear" w:color="auto" w:fill="auto"/>
                <w:vertAlign w:val="baseline"/>
                <w:lang w:val="en-US" w:eastAsia="zh-CN"/>
              </w:rPr>
            </w:pPr>
            <w:r>
              <w:rPr>
                <w:rFonts w:hint="eastAsia" w:ascii="仿宋" w:hAnsi="仿宋" w:eastAsia="仿宋" w:cs="仿宋"/>
                <w:b/>
                <w:bCs/>
                <w:color w:val="auto"/>
                <w:sz w:val="20"/>
                <w:szCs w:val="20"/>
                <w:highlight w:val="none"/>
                <w:shd w:val="clear" w:color="auto" w:fill="auto"/>
                <w:vertAlign w:val="baseline"/>
                <w:lang w:val="en-US" w:eastAsia="zh-CN"/>
              </w:rPr>
              <w:t>科室预期使用的规格、型号或配置等</w:t>
            </w:r>
          </w:p>
        </w:tc>
      </w:tr>
      <w:tr w14:paraId="6D2F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noWrap w:val="0"/>
            <w:vAlign w:val="center"/>
          </w:tcPr>
          <w:p w14:paraId="6C210A61">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2"/>
                <w:sz w:val="22"/>
                <w:szCs w:val="22"/>
                <w:u w:val="none"/>
                <w:lang w:val="en-US" w:eastAsia="zh-CN" w:bidi="ar-SA"/>
              </w:rPr>
            </w:pPr>
            <w:r>
              <w:rPr>
                <w:rFonts w:hint="eastAsia" w:ascii="仿宋" w:hAnsi="仿宋" w:eastAsia="仿宋" w:cs="仿宋"/>
                <w:b w:val="0"/>
                <w:bCs w:val="0"/>
                <w:i w:val="0"/>
                <w:iCs w:val="0"/>
                <w:color w:val="000000"/>
                <w:kern w:val="0"/>
                <w:sz w:val="22"/>
                <w:szCs w:val="22"/>
                <w:u w:val="none"/>
                <w:lang w:val="en-US" w:eastAsia="zh-CN" w:bidi="ar"/>
              </w:rPr>
              <w:t>1-1</w:t>
            </w:r>
          </w:p>
        </w:tc>
        <w:tc>
          <w:tcPr>
            <w:tcW w:w="1132" w:type="dxa"/>
            <w:noWrap w:val="0"/>
            <w:vAlign w:val="center"/>
          </w:tcPr>
          <w:p w14:paraId="502D16BF">
            <w:pPr>
              <w:numPr>
                <w:ilvl w:val="0"/>
                <w:numId w:val="0"/>
              </w:numPr>
              <w:spacing w:line="240" w:lineRule="auto"/>
              <w:jc w:val="center"/>
              <w:rPr>
                <w:rFonts w:hint="eastAsia" w:ascii="仿宋" w:hAnsi="仿宋" w:eastAsia="仿宋" w:cs="仿宋"/>
                <w:b w:val="0"/>
                <w:bCs w:val="0"/>
                <w:color w:val="auto"/>
                <w:sz w:val="22"/>
                <w:szCs w:val="22"/>
                <w:highlight w:val="none"/>
                <w:shd w:val="clear" w:color="auto" w:fill="auto"/>
                <w:vertAlign w:val="baseline"/>
                <w:lang w:val="en-US" w:eastAsia="zh-CN"/>
              </w:rPr>
            </w:pPr>
            <w:r>
              <w:rPr>
                <w:rFonts w:hint="eastAsia" w:ascii="仿宋" w:hAnsi="仿宋" w:eastAsia="仿宋" w:cs="仿宋"/>
                <w:b w:val="0"/>
                <w:bCs w:val="0"/>
                <w:color w:val="auto"/>
                <w:sz w:val="22"/>
                <w:szCs w:val="22"/>
                <w:highlight w:val="none"/>
                <w:shd w:val="clear" w:color="auto" w:fill="auto"/>
                <w:vertAlign w:val="baseline"/>
                <w:lang w:val="en-US" w:eastAsia="zh-CN"/>
              </w:rPr>
              <w:t>鼻腔止血海绵</w:t>
            </w:r>
          </w:p>
        </w:tc>
        <w:tc>
          <w:tcPr>
            <w:tcW w:w="1172" w:type="dxa"/>
            <w:noWrap w:val="0"/>
            <w:vAlign w:val="center"/>
          </w:tcPr>
          <w:p w14:paraId="5BA4C63A">
            <w:pPr>
              <w:numPr>
                <w:ilvl w:val="0"/>
                <w:numId w:val="0"/>
              </w:numPr>
              <w:spacing w:line="240" w:lineRule="auto"/>
              <w:jc w:val="center"/>
              <w:rPr>
                <w:rFonts w:hint="eastAsia" w:ascii="仿宋" w:hAnsi="仿宋" w:eastAsia="仿宋" w:cs="仿宋"/>
                <w:b w:val="0"/>
                <w:bCs w:val="0"/>
                <w:color w:val="auto"/>
                <w:sz w:val="22"/>
                <w:szCs w:val="22"/>
                <w:highlight w:val="none"/>
                <w:shd w:val="clear" w:color="auto" w:fill="auto"/>
                <w:vertAlign w:val="baseline"/>
                <w:lang w:val="en-US" w:eastAsia="zh-CN"/>
              </w:rPr>
            </w:pPr>
            <w:r>
              <w:rPr>
                <w:rFonts w:hint="eastAsia" w:ascii="仿宋" w:hAnsi="仿宋" w:eastAsia="仿宋" w:cs="仿宋"/>
                <w:b w:val="0"/>
                <w:bCs w:val="0"/>
                <w:color w:val="auto"/>
                <w:sz w:val="22"/>
                <w:szCs w:val="22"/>
                <w:highlight w:val="none"/>
                <w:shd w:val="clear" w:color="auto" w:fill="auto"/>
                <w:vertAlign w:val="baseline"/>
                <w:lang w:val="en-US" w:eastAsia="zh-CN"/>
              </w:rPr>
              <w:t>C15010521204</w:t>
            </w:r>
          </w:p>
        </w:tc>
        <w:tc>
          <w:tcPr>
            <w:tcW w:w="3628" w:type="dxa"/>
            <w:noWrap w:val="0"/>
            <w:vAlign w:val="center"/>
          </w:tcPr>
          <w:p w14:paraId="1A18DCD9">
            <w:pPr>
              <w:numPr>
                <w:ilvl w:val="0"/>
                <w:numId w:val="0"/>
              </w:numPr>
              <w:spacing w:line="240" w:lineRule="auto"/>
              <w:jc w:val="left"/>
              <w:rPr>
                <w:rFonts w:hint="eastAsia" w:ascii="仿宋" w:hAnsi="仿宋" w:eastAsia="仿宋" w:cs="仿宋"/>
                <w:b w:val="0"/>
                <w:bCs w:val="0"/>
                <w:color w:val="auto"/>
                <w:sz w:val="22"/>
                <w:szCs w:val="22"/>
                <w:highlight w:val="none"/>
                <w:shd w:val="clear" w:color="auto" w:fill="auto"/>
                <w:vertAlign w:val="baseline"/>
                <w:lang w:val="en-US" w:eastAsia="zh-CN"/>
              </w:rPr>
            </w:pPr>
            <w:r>
              <w:rPr>
                <w:rFonts w:hint="eastAsia" w:ascii="仿宋" w:hAnsi="仿宋" w:eastAsia="仿宋" w:cs="仿宋"/>
                <w:b w:val="0"/>
                <w:bCs w:val="0"/>
                <w:color w:val="auto"/>
                <w:sz w:val="22"/>
                <w:szCs w:val="22"/>
                <w:highlight w:val="none"/>
                <w:shd w:val="clear" w:color="auto" w:fill="auto"/>
                <w:vertAlign w:val="baseline"/>
                <w:lang w:val="en-US" w:eastAsia="zh-CN"/>
              </w:rPr>
              <w:t>通过物理压迫等方式有效控制鼻腔内的轻中度出血，用于鼻腔前部出血和作为鼻腔术后的止血材料。</w:t>
            </w:r>
          </w:p>
        </w:tc>
        <w:tc>
          <w:tcPr>
            <w:tcW w:w="2051" w:type="dxa"/>
            <w:noWrap w:val="0"/>
            <w:vAlign w:val="center"/>
          </w:tcPr>
          <w:p w14:paraId="765C4186">
            <w:pPr>
              <w:numPr>
                <w:ilvl w:val="0"/>
                <w:numId w:val="0"/>
              </w:numPr>
              <w:spacing w:line="240" w:lineRule="auto"/>
              <w:jc w:val="center"/>
              <w:rPr>
                <w:rFonts w:hint="eastAsia" w:ascii="仿宋" w:hAnsi="仿宋" w:eastAsia="仿宋" w:cs="仿宋"/>
                <w:b w:val="0"/>
                <w:bCs w:val="0"/>
                <w:color w:val="auto"/>
                <w:sz w:val="22"/>
                <w:szCs w:val="22"/>
                <w:highlight w:val="none"/>
                <w:shd w:val="clear" w:color="auto" w:fill="auto"/>
                <w:vertAlign w:val="baseline"/>
                <w:lang w:val="en-US" w:eastAsia="zh-CN"/>
              </w:rPr>
            </w:pPr>
            <w:r>
              <w:rPr>
                <w:rFonts w:hint="eastAsia" w:ascii="仿宋" w:hAnsi="仿宋" w:eastAsia="仿宋" w:cs="仿宋"/>
                <w:b w:val="0"/>
                <w:bCs w:val="0"/>
                <w:color w:val="auto"/>
                <w:sz w:val="22"/>
                <w:szCs w:val="22"/>
                <w:highlight w:val="none"/>
                <w:shd w:val="clear" w:color="auto" w:fill="auto"/>
                <w:vertAlign w:val="baseline"/>
                <w:lang w:val="en-US" w:eastAsia="zh-CN"/>
              </w:rPr>
              <w:t>8cm*2cm*1.5cm</w:t>
            </w:r>
          </w:p>
        </w:tc>
      </w:tr>
    </w:tbl>
    <w:p w14:paraId="0ED2E655">
      <w:pPr>
        <w:numPr>
          <w:ilvl w:val="0"/>
          <w:numId w:val="0"/>
        </w:numPr>
        <w:spacing w:line="400" w:lineRule="exact"/>
        <w:jc w:val="left"/>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shd w:val="clear" w:color="auto" w:fill="auto"/>
          <w:lang w:val="en-US" w:eastAsia="zh-CN" w:bidi="ar-SA"/>
        </w:rPr>
        <w:t>二、★</w:t>
      </w:r>
      <w:r>
        <w:rPr>
          <w:rFonts w:hint="eastAsia" w:ascii="楷体" w:hAnsi="楷体" w:eastAsia="楷体" w:cs="楷体"/>
          <w:b/>
          <w:bCs/>
          <w:color w:val="auto"/>
          <w:sz w:val="24"/>
          <w:szCs w:val="24"/>
          <w:highlight w:val="none"/>
          <w:shd w:val="clear" w:color="auto" w:fill="auto"/>
          <w:lang w:val="en-US" w:eastAsia="zh-CN"/>
        </w:rPr>
        <w:t>挂网需求</w:t>
      </w:r>
    </w:p>
    <w:p w14:paraId="582D399D">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default"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1.</w:t>
      </w:r>
      <w:r>
        <w:rPr>
          <w:rFonts w:hint="default" w:ascii="仿宋" w:hAnsi="仿宋" w:eastAsia="仿宋" w:cs="仿宋"/>
          <w:color w:val="000000"/>
          <w:kern w:val="0"/>
          <w:sz w:val="22"/>
          <w:szCs w:val="22"/>
          <w:highlight w:val="none"/>
          <w:lang w:val="en-US" w:eastAsia="zh-CN" w:bidi="zh-CN"/>
        </w:rPr>
        <w:t>本项目所有标的均须提供挂网产品。</w:t>
      </w:r>
    </w:p>
    <w:p w14:paraId="7729808E">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default" w:ascii="楷体" w:hAnsi="楷体" w:eastAsia="楷体" w:cs="楷体"/>
          <w:b/>
          <w:bCs/>
          <w:color w:val="auto"/>
          <w:sz w:val="24"/>
          <w:szCs w:val="24"/>
          <w:highlight w:val="none"/>
          <w:shd w:val="clear" w:color="auto" w:fill="auto"/>
          <w:lang w:val="en-US" w:eastAsia="zh-CN"/>
        </w:rPr>
      </w:pPr>
      <w:r>
        <w:rPr>
          <w:rFonts w:hint="default" w:ascii="仿宋" w:hAnsi="仿宋" w:eastAsia="仿宋" w:cs="仿宋"/>
          <w:color w:val="000000"/>
          <w:kern w:val="0"/>
          <w:sz w:val="22"/>
          <w:szCs w:val="22"/>
          <w:highlight w:val="none"/>
          <w:lang w:val="en-US" w:eastAsia="zh-CN" w:bidi="zh-CN"/>
        </w:rPr>
        <w:t>注：本项目中所指“挂网产品”，为“四川省药品和医用耗材招采管理系统”中已挂网产品（不含正在挂网和备案的产品）。</w:t>
      </w:r>
    </w:p>
    <w:p w14:paraId="5DBF45D6">
      <w:pPr>
        <w:numPr>
          <w:ilvl w:val="0"/>
          <w:numId w:val="0"/>
        </w:numPr>
        <w:spacing w:line="400" w:lineRule="exact"/>
        <w:jc w:val="left"/>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三、★</w:t>
      </w:r>
      <w:r>
        <w:rPr>
          <w:rFonts w:hint="eastAsia" w:ascii="楷体" w:hAnsi="楷体" w:eastAsia="楷体" w:cs="楷体"/>
          <w:b/>
          <w:bCs/>
          <w:color w:val="auto"/>
          <w:sz w:val="24"/>
          <w:szCs w:val="24"/>
          <w:highlight w:val="none"/>
          <w:shd w:val="clear" w:color="auto" w:fill="auto"/>
          <w:lang w:val="en-US" w:eastAsia="zh-CN"/>
        </w:rPr>
        <w:t>样品要求</w:t>
      </w:r>
    </w:p>
    <w:p w14:paraId="6C4A9323">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1.必须提供样品，以供评审专家现场评审。</w:t>
      </w:r>
    </w:p>
    <w:p w14:paraId="7880EF7A">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2.提交的样品不符合实际需求或存在原理错误则视为无效响应。</w:t>
      </w:r>
    </w:p>
    <w:p w14:paraId="3E2894A2">
      <w:pPr>
        <w:keepNext w:val="0"/>
        <w:keepLines w:val="0"/>
        <w:pageBreakBefore w:val="0"/>
        <w:widowControl w:val="0"/>
        <w:kinsoku/>
        <w:wordWrap/>
        <w:overflowPunct/>
        <w:topLinePunct w:val="0"/>
        <w:autoSpaceDE/>
        <w:autoSpaceDN/>
        <w:bidi w:val="0"/>
        <w:adjustRightInd/>
        <w:snapToGrid/>
        <w:spacing w:before="0" w:after="0" w:line="240" w:lineRule="auto"/>
        <w:ind w:right="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3.本项目投标人提供的样品，应与该投标人响应文件保持一致（具体参考《医疗器械说明书和标签管理规定》）。</w:t>
      </w:r>
    </w:p>
    <w:p w14:paraId="5809B405">
      <w:pPr>
        <w:keepNext w:val="0"/>
        <w:keepLines w:val="0"/>
        <w:pageBreakBefore w:val="0"/>
        <w:widowControl/>
        <w:kinsoku/>
        <w:wordWrap w:val="0"/>
        <w:overflowPunct/>
        <w:topLinePunct/>
        <w:autoSpaceDE/>
        <w:autoSpaceDN/>
        <w:bidi w:val="0"/>
        <w:adjustRightInd/>
        <w:snapToGrid/>
        <w:spacing w:line="240" w:lineRule="auto"/>
        <w:jc w:val="left"/>
        <w:textAlignment w:val="auto"/>
        <w:outlineLvl w:val="1"/>
        <w:rPr>
          <w:rFonts w:hint="eastAsia" w:ascii="仿宋" w:hAnsi="仿宋" w:eastAsia="仿宋" w:cs="仿宋"/>
          <w:b/>
          <w:bCs/>
          <w:sz w:val="22"/>
          <w:szCs w:val="22"/>
          <w:highlight w:val="none"/>
          <w:lang w:val="en-US" w:eastAsia="zh-CN"/>
        </w:rPr>
      </w:pPr>
      <w:r>
        <w:rPr>
          <w:rFonts w:hint="eastAsia" w:ascii="仿宋" w:hAnsi="仿宋" w:eastAsia="仿宋" w:cs="仿宋"/>
          <w:b/>
          <w:kern w:val="0"/>
          <w:sz w:val="28"/>
          <w:szCs w:val="28"/>
          <w:highlight w:val="none"/>
          <w:lang w:val="en-US" w:eastAsia="zh-CN"/>
        </w:rPr>
        <w:t>3.3.★商务要求</w:t>
      </w:r>
    </w:p>
    <w:p w14:paraId="3AA35A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一、</w:t>
      </w:r>
      <w:r>
        <w:rPr>
          <w:rFonts w:hint="eastAsia" w:ascii="楷体" w:hAnsi="楷体" w:eastAsia="楷体" w:cs="楷体"/>
          <w:b/>
          <w:bCs/>
          <w:color w:val="auto"/>
          <w:sz w:val="24"/>
          <w:szCs w:val="24"/>
          <w:highlight w:val="none"/>
          <w:shd w:val="clear" w:color="auto" w:fill="auto"/>
          <w:lang w:val="en-US" w:eastAsia="zh-CN"/>
        </w:rPr>
        <w:t>服务期限</w:t>
      </w:r>
    </w:p>
    <w:p w14:paraId="2083AB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rPr>
      </w:pPr>
      <w:r>
        <w:rPr>
          <w:rFonts w:hint="eastAsia" w:ascii="仿宋" w:hAnsi="仿宋" w:eastAsia="仿宋" w:cs="仿宋"/>
          <w:color w:val="000000"/>
          <w:kern w:val="0"/>
          <w:sz w:val="22"/>
          <w:szCs w:val="22"/>
          <w:lang w:val="en-US" w:eastAsia="zh-CN" w:bidi="zh-CN"/>
        </w:rPr>
        <w:t>1.每次</w:t>
      </w:r>
      <w:r>
        <w:rPr>
          <w:rFonts w:hint="eastAsia" w:ascii="仿宋" w:hAnsi="仿宋" w:eastAsia="仿宋" w:cs="仿宋"/>
          <w:color w:val="000000"/>
          <w:kern w:val="0"/>
          <w:sz w:val="22"/>
          <w:szCs w:val="22"/>
          <w:lang w:val="en-US" w:eastAsia="zh-Hans" w:bidi="zh-CN"/>
        </w:rPr>
        <w:t>供货</w:t>
      </w:r>
      <w:r>
        <w:rPr>
          <w:rFonts w:hint="eastAsia" w:ascii="仿宋" w:hAnsi="仿宋" w:eastAsia="仿宋" w:cs="仿宋"/>
          <w:color w:val="000000"/>
          <w:kern w:val="0"/>
          <w:sz w:val="22"/>
          <w:szCs w:val="22"/>
          <w:lang w:val="en-US" w:eastAsia="zh-CN" w:bidi="zh-CN"/>
        </w:rPr>
        <w:t>时间必须严格按照采购人配送通知执行，中选人应于收到通知后2小时内响应。急用产品的</w:t>
      </w:r>
      <w:r>
        <w:rPr>
          <w:rFonts w:hint="eastAsia" w:ascii="仿宋" w:hAnsi="仿宋" w:eastAsia="仿宋" w:cs="仿宋"/>
          <w:color w:val="000000"/>
          <w:kern w:val="0"/>
          <w:sz w:val="22"/>
          <w:szCs w:val="22"/>
          <w:lang w:val="en-US" w:eastAsia="zh-Hans" w:bidi="zh-CN"/>
        </w:rPr>
        <w:t>供货</w:t>
      </w:r>
      <w:r>
        <w:rPr>
          <w:rFonts w:hint="eastAsia" w:ascii="仿宋" w:hAnsi="仿宋" w:eastAsia="仿宋" w:cs="仿宋"/>
          <w:color w:val="000000"/>
          <w:kern w:val="0"/>
          <w:sz w:val="22"/>
          <w:szCs w:val="22"/>
          <w:lang w:val="en-US" w:eastAsia="zh-CN" w:bidi="zh-CN"/>
        </w:rPr>
        <w:t>时间不应超过4小时，一般产品原则上的</w:t>
      </w:r>
      <w:r>
        <w:rPr>
          <w:rFonts w:hint="eastAsia" w:ascii="仿宋" w:hAnsi="仿宋" w:eastAsia="仿宋" w:cs="仿宋"/>
          <w:color w:val="000000"/>
          <w:kern w:val="0"/>
          <w:sz w:val="22"/>
          <w:szCs w:val="22"/>
          <w:lang w:val="en-US" w:eastAsia="zh-Hans" w:bidi="zh-CN"/>
        </w:rPr>
        <w:t>供货</w:t>
      </w:r>
      <w:r>
        <w:rPr>
          <w:rFonts w:hint="eastAsia" w:ascii="仿宋" w:hAnsi="仿宋" w:eastAsia="仿宋" w:cs="仿宋"/>
          <w:color w:val="000000"/>
          <w:kern w:val="0"/>
          <w:sz w:val="22"/>
          <w:szCs w:val="22"/>
          <w:lang w:val="en-US" w:eastAsia="zh-CN" w:bidi="zh-CN"/>
        </w:rPr>
        <w:t>时间不应超过2个工作日。</w:t>
      </w:r>
    </w:p>
    <w:p w14:paraId="327DFB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二、</w:t>
      </w:r>
      <w:r>
        <w:rPr>
          <w:rFonts w:hint="eastAsia" w:ascii="楷体" w:hAnsi="楷体" w:eastAsia="楷体" w:cs="楷体"/>
          <w:b/>
          <w:bCs/>
          <w:color w:val="auto"/>
          <w:sz w:val="24"/>
          <w:szCs w:val="24"/>
          <w:highlight w:val="none"/>
          <w:shd w:val="clear" w:color="auto" w:fill="auto"/>
          <w:lang w:val="en-US" w:eastAsia="zh-CN"/>
        </w:rPr>
        <w:t>服务地点</w:t>
      </w:r>
    </w:p>
    <w:p w14:paraId="14690F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内江市第一人民医院指定地点。</w:t>
      </w:r>
    </w:p>
    <w:p w14:paraId="5E73CF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三、</w:t>
      </w:r>
      <w:r>
        <w:rPr>
          <w:rFonts w:hint="eastAsia" w:ascii="楷体" w:hAnsi="楷体" w:eastAsia="楷体" w:cs="楷体"/>
          <w:b/>
          <w:bCs/>
          <w:color w:val="auto"/>
          <w:sz w:val="24"/>
          <w:szCs w:val="24"/>
          <w:highlight w:val="none"/>
          <w:shd w:val="clear" w:color="auto" w:fill="auto"/>
          <w:lang w:val="en-US" w:eastAsia="zh-CN"/>
        </w:rPr>
        <w:t>付款方式和条件</w:t>
      </w:r>
    </w:p>
    <w:p w14:paraId="70A6A3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b w:val="0"/>
          <w:bCs w:val="0"/>
          <w:color w:val="000000"/>
          <w:kern w:val="0"/>
          <w:sz w:val="22"/>
          <w:szCs w:val="22"/>
          <w:lang w:val="en-US" w:eastAsia="zh-CN" w:bidi="zh-CN"/>
        </w:rPr>
      </w:pPr>
      <w:r>
        <w:rPr>
          <w:rFonts w:hint="eastAsia" w:ascii="仿宋" w:hAnsi="仿宋" w:eastAsia="仿宋" w:cs="仿宋"/>
          <w:b w:val="0"/>
          <w:bCs w:val="0"/>
          <w:color w:val="000000"/>
          <w:kern w:val="0"/>
          <w:sz w:val="22"/>
          <w:szCs w:val="22"/>
          <w:lang w:val="en-US" w:eastAsia="zh-CN" w:bidi="zh-CN"/>
        </w:rPr>
        <w:t>1.</w:t>
      </w:r>
      <w:r>
        <w:rPr>
          <w:rFonts w:hint="default" w:ascii="仿宋" w:hAnsi="仿宋" w:eastAsia="仿宋" w:cs="仿宋"/>
          <w:b w:val="0"/>
          <w:bCs w:val="0"/>
          <w:color w:val="000000"/>
          <w:kern w:val="0"/>
          <w:sz w:val="22"/>
          <w:szCs w:val="22"/>
          <w:lang w:val="en-US" w:eastAsia="zh-CN" w:bidi="zh-CN"/>
        </w:rPr>
        <w:t>结算方式：</w:t>
      </w:r>
      <w:r>
        <w:rPr>
          <w:rFonts w:hint="eastAsia" w:ascii="仿宋" w:hAnsi="仿宋" w:eastAsia="仿宋" w:cs="仿宋"/>
          <w:b w:val="0"/>
          <w:bCs w:val="0"/>
          <w:color w:val="000000"/>
          <w:kern w:val="0"/>
          <w:sz w:val="22"/>
          <w:szCs w:val="22"/>
          <w:lang w:val="en-US" w:eastAsia="zh-CN" w:bidi="zh-CN"/>
        </w:rPr>
        <w:t>据实结算</w:t>
      </w:r>
      <w:r>
        <w:rPr>
          <w:rFonts w:hint="default" w:ascii="仿宋" w:hAnsi="仿宋" w:eastAsia="仿宋" w:cs="仿宋"/>
          <w:b w:val="0"/>
          <w:bCs w:val="0"/>
          <w:color w:val="000000"/>
          <w:kern w:val="0"/>
          <w:sz w:val="22"/>
          <w:szCs w:val="22"/>
          <w:lang w:val="en-US" w:eastAsia="zh-CN" w:bidi="zh-CN"/>
        </w:rPr>
        <w:t>且由双方协商决定。</w:t>
      </w:r>
    </w:p>
    <w:p w14:paraId="7B1C8F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b w:val="0"/>
          <w:bCs w:val="0"/>
          <w:color w:val="000000"/>
          <w:kern w:val="0"/>
          <w:sz w:val="22"/>
          <w:szCs w:val="22"/>
          <w:highlight w:val="none"/>
          <w:shd w:val="clear" w:color="auto" w:fill="auto"/>
          <w:lang w:val="en-US" w:eastAsia="zh-CN" w:bidi="zh-CN"/>
        </w:rPr>
      </w:pPr>
      <w:r>
        <w:rPr>
          <w:rFonts w:hint="eastAsia" w:ascii="仿宋" w:hAnsi="仿宋" w:eastAsia="仿宋" w:cs="仿宋"/>
          <w:b w:val="0"/>
          <w:bCs w:val="0"/>
          <w:color w:val="000000"/>
          <w:kern w:val="0"/>
          <w:sz w:val="22"/>
          <w:szCs w:val="22"/>
          <w:lang w:val="en-US" w:eastAsia="zh-CN" w:bidi="zh-CN"/>
        </w:rPr>
        <w:t>2.</w:t>
      </w:r>
      <w:r>
        <w:rPr>
          <w:rFonts w:hint="default" w:ascii="仿宋" w:hAnsi="仿宋" w:eastAsia="仿宋" w:cs="仿宋"/>
          <w:b w:val="0"/>
          <w:bCs w:val="0"/>
          <w:color w:val="000000"/>
          <w:kern w:val="0"/>
          <w:sz w:val="22"/>
          <w:szCs w:val="22"/>
          <w:lang w:val="en-US" w:eastAsia="zh-CN" w:bidi="zh-CN"/>
        </w:rPr>
        <w:t>成交价格包含成本、运输、包装、培训、配送、伴随服务、税费及其他附加费用。</w:t>
      </w:r>
    </w:p>
    <w:p w14:paraId="0D96AC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四、验收、交付标准和方法</w:t>
      </w:r>
    </w:p>
    <w:p w14:paraId="052E14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按照《财政部关于进一步加强政府采购需求和履约验收管理的指导意见》（财库〔2016〕205号）的要求以及采购人招标文件的质量要求和技术指标、</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的投标文件及承诺（若有）、国家（行业）标准、采购合同约定标准进行验收；</w:t>
      </w:r>
    </w:p>
    <w:p w14:paraId="2CFD925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2.</w:t>
      </w:r>
      <w:r>
        <w:rPr>
          <w:rFonts w:hint="default" w:ascii="仿宋" w:hAnsi="仿宋" w:eastAsia="仿宋" w:cs="仿宋"/>
          <w:color w:val="000000"/>
          <w:kern w:val="0"/>
          <w:sz w:val="22"/>
          <w:szCs w:val="22"/>
          <w:lang w:val="en-US" w:eastAsia="zh-CN" w:bidi="zh-CN"/>
        </w:rPr>
        <w:t>验收时如发现所交付的货物有短装、次品、损坏或其他不符合验收标准的，采购人应做出详尽的现场记录，此现场记录或备忘录可用作补充、缺失和更换损坏部件的有效证据，由此产生的时间延误与有关费用由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承担，验收期限相应顺延；</w:t>
      </w:r>
    </w:p>
    <w:p w14:paraId="111D3F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3.</w:t>
      </w:r>
      <w:r>
        <w:rPr>
          <w:rFonts w:hint="default" w:ascii="仿宋" w:hAnsi="仿宋" w:eastAsia="仿宋" w:cs="仿宋"/>
          <w:color w:val="000000"/>
          <w:kern w:val="0"/>
          <w:sz w:val="22"/>
          <w:szCs w:val="22"/>
          <w:lang w:val="en-US" w:eastAsia="zh-CN" w:bidi="zh-CN"/>
        </w:rPr>
        <w:t>若所提供货物不符合验收标准，</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经过2次维修或2次调换后仍不能达到验收质量标准，则视为验收不合格，采购人有权全部（或部分）退货或解除合同。接到采购人退货通知，</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除应及时运走采购人退还的货物外（若涉及费用或损失均由</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自行承担），还应向采购人承担相应的违约责任。</w:t>
      </w:r>
    </w:p>
    <w:p w14:paraId="5B3B1E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color w:val="000000"/>
          <w:kern w:val="0"/>
          <w:sz w:val="22"/>
          <w:szCs w:val="22"/>
          <w:lang w:val="en-US" w:eastAsia="zh-CN" w:bidi="zh-CN"/>
        </w:rPr>
        <w:t>4.</w:t>
      </w:r>
      <w:r>
        <w:rPr>
          <w:rFonts w:hint="default" w:ascii="仿宋" w:hAnsi="仿宋" w:eastAsia="仿宋" w:cs="仿宋"/>
          <w:color w:val="000000"/>
          <w:kern w:val="0"/>
          <w:sz w:val="22"/>
          <w:szCs w:val="22"/>
          <w:lang w:val="en-US" w:eastAsia="zh-CN" w:bidi="zh-CN"/>
        </w:rPr>
        <w:t>其他未尽事宜严格按照《财政部关于进一步加强政府采购需求和履约验收管理的指导意见》（财库〔2016〕205号）的要求进行。</w:t>
      </w:r>
    </w:p>
    <w:p w14:paraId="4887F3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highlight w:val="none"/>
          <w:shd w:val="clear" w:color="auto" w:fill="auto"/>
          <w:lang w:val="en-US" w:eastAsia="zh-CN" w:bidi="ar-SA"/>
        </w:rPr>
        <w:t>五、</w:t>
      </w:r>
      <w:r>
        <w:rPr>
          <w:rFonts w:hint="eastAsia" w:ascii="楷体" w:hAnsi="楷体" w:eastAsia="楷体" w:cs="楷体"/>
          <w:b/>
          <w:bCs/>
          <w:color w:val="auto"/>
          <w:sz w:val="24"/>
          <w:szCs w:val="24"/>
          <w:highlight w:val="none"/>
          <w:shd w:val="clear" w:color="auto" w:fill="auto"/>
          <w:lang w:val="en-US" w:eastAsia="zh-CN"/>
        </w:rPr>
        <w:t>售后服务</w:t>
      </w:r>
    </w:p>
    <w:p w14:paraId="0E11C4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1.</w:t>
      </w:r>
      <w:r>
        <w:rPr>
          <w:rFonts w:hint="default" w:ascii="仿宋" w:hAnsi="仿宋" w:eastAsia="仿宋" w:cs="仿宋"/>
          <w:color w:val="000000"/>
          <w:kern w:val="0"/>
          <w:sz w:val="22"/>
          <w:szCs w:val="22"/>
          <w:lang w:val="en-US" w:eastAsia="zh-CN" w:bidi="zh-CN"/>
        </w:rPr>
        <w:t>要求</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必须严格按照招标文件要求和投标文件中的承诺提供</w:t>
      </w:r>
      <w:r>
        <w:rPr>
          <w:rFonts w:hint="eastAsia" w:ascii="仿宋" w:hAnsi="仿宋" w:eastAsia="仿宋" w:cs="仿宋"/>
          <w:color w:val="000000"/>
          <w:kern w:val="0"/>
          <w:sz w:val="22"/>
          <w:szCs w:val="22"/>
          <w:lang w:val="en-US" w:eastAsia="zh-Hans" w:bidi="zh-CN"/>
        </w:rPr>
        <w:t>货物</w:t>
      </w:r>
      <w:r>
        <w:rPr>
          <w:rFonts w:hint="default" w:ascii="仿宋" w:hAnsi="仿宋" w:eastAsia="仿宋" w:cs="仿宋"/>
          <w:color w:val="000000"/>
          <w:kern w:val="0"/>
          <w:sz w:val="22"/>
          <w:szCs w:val="22"/>
          <w:lang w:val="en-US" w:eastAsia="zh-CN" w:bidi="zh-CN"/>
        </w:rPr>
        <w:t>。如果</w:t>
      </w:r>
      <w:r>
        <w:rPr>
          <w:rFonts w:hint="eastAsia" w:ascii="仿宋" w:hAnsi="仿宋" w:eastAsia="仿宋" w:cs="仿宋"/>
          <w:color w:val="000000"/>
          <w:kern w:val="0"/>
          <w:sz w:val="22"/>
          <w:szCs w:val="22"/>
          <w:lang w:val="en-US" w:eastAsia="zh-Hans" w:bidi="zh-CN"/>
        </w:rPr>
        <w:t>中选人提供</w:t>
      </w:r>
      <w:r>
        <w:rPr>
          <w:rFonts w:hint="default" w:ascii="仿宋" w:hAnsi="仿宋" w:eastAsia="仿宋" w:cs="仿宋"/>
          <w:color w:val="000000"/>
          <w:kern w:val="0"/>
          <w:sz w:val="22"/>
          <w:szCs w:val="22"/>
          <w:lang w:val="en-US" w:eastAsia="zh-CN" w:bidi="zh-CN"/>
        </w:rPr>
        <w:t>的医用耗材规格、包装等信息与中标产品的规格、包装等信息不一致并不同意更换的，或配送的医用耗材和中标产品不一致的，采购人有权终止合同。</w:t>
      </w:r>
    </w:p>
    <w:p w14:paraId="2E8A3C4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2.</w:t>
      </w:r>
      <w:r>
        <w:rPr>
          <w:rFonts w:hint="default" w:ascii="仿宋" w:hAnsi="仿宋" w:eastAsia="仿宋" w:cs="仿宋"/>
          <w:color w:val="000000"/>
          <w:kern w:val="0"/>
          <w:sz w:val="22"/>
          <w:szCs w:val="22"/>
          <w:lang w:val="en-US" w:eastAsia="zh-CN" w:bidi="zh-CN"/>
        </w:rPr>
        <w:t>要求</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指派专人负责与采购人联系售后服务事宜；在投标文件中列明售后联系人及联系电话。</w:t>
      </w:r>
    </w:p>
    <w:p w14:paraId="3405838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3.</w:t>
      </w:r>
      <w:r>
        <w:rPr>
          <w:rFonts w:hint="default" w:ascii="仿宋" w:hAnsi="仿宋" w:eastAsia="仿宋" w:cs="仿宋"/>
          <w:color w:val="000000"/>
          <w:kern w:val="0"/>
          <w:sz w:val="22"/>
          <w:szCs w:val="22"/>
          <w:lang w:val="en-US" w:eastAsia="zh-CN" w:bidi="zh-CN"/>
        </w:rPr>
        <w:t>要求</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1E3DDB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4.</w:t>
      </w:r>
      <w:r>
        <w:rPr>
          <w:rFonts w:hint="default" w:ascii="仿宋" w:hAnsi="仿宋" w:eastAsia="仿宋" w:cs="仿宋"/>
          <w:color w:val="000000"/>
          <w:kern w:val="0"/>
          <w:sz w:val="22"/>
          <w:szCs w:val="22"/>
          <w:lang w:val="en-US" w:eastAsia="zh-CN" w:bidi="zh-CN"/>
        </w:rPr>
        <w:t>耗材临近失效期，采购人提前三个月向</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提出更换，</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须在耗材失效前一个月更换完毕，不得以任何理由进行推诿。</w:t>
      </w:r>
    </w:p>
    <w:p w14:paraId="2EFAEB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5.中选人</w:t>
      </w:r>
      <w:r>
        <w:rPr>
          <w:rFonts w:hint="default" w:ascii="仿宋" w:hAnsi="仿宋" w:eastAsia="仿宋" w:cs="仿宋"/>
          <w:color w:val="000000"/>
          <w:kern w:val="0"/>
          <w:sz w:val="22"/>
          <w:szCs w:val="22"/>
          <w:lang w:val="en-US" w:eastAsia="zh-CN" w:bidi="zh-CN"/>
        </w:rPr>
        <w:t>必须随货提供其具备医疗器械经营企业的有关合法有效的手续（包括但不限于）：</w:t>
      </w:r>
    </w:p>
    <w:p w14:paraId="264EA9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5.1</w:t>
      </w:r>
      <w:r>
        <w:rPr>
          <w:rFonts w:hint="default" w:ascii="仿宋" w:hAnsi="仿宋" w:eastAsia="仿宋" w:cs="仿宋"/>
          <w:color w:val="000000"/>
          <w:kern w:val="0"/>
          <w:sz w:val="22"/>
          <w:szCs w:val="22"/>
          <w:lang w:val="en-US" w:eastAsia="zh-CN" w:bidi="zh-CN"/>
        </w:rPr>
        <w:t>产品所涉及逐级授权经销商的医疗器械生产（经营）许可证或生产（经营）企业备案表；</w:t>
      </w:r>
    </w:p>
    <w:p w14:paraId="16797B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5.2</w:t>
      </w:r>
      <w:r>
        <w:rPr>
          <w:rFonts w:hint="default" w:ascii="仿宋" w:hAnsi="仿宋" w:eastAsia="仿宋" w:cs="仿宋"/>
          <w:color w:val="000000"/>
          <w:kern w:val="0"/>
          <w:sz w:val="22"/>
          <w:szCs w:val="22"/>
          <w:lang w:val="en-US" w:eastAsia="zh-CN" w:bidi="zh-CN"/>
        </w:rPr>
        <w:t>医疗器械产品注册证或备案凭证；</w:t>
      </w:r>
    </w:p>
    <w:p w14:paraId="1795A3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5.3</w:t>
      </w:r>
      <w:r>
        <w:rPr>
          <w:rFonts w:hint="default" w:ascii="仿宋" w:hAnsi="仿宋" w:eastAsia="仿宋" w:cs="仿宋"/>
          <w:color w:val="000000"/>
          <w:kern w:val="0"/>
          <w:sz w:val="22"/>
          <w:szCs w:val="22"/>
          <w:lang w:val="en-US" w:eastAsia="zh-CN" w:bidi="zh-CN"/>
        </w:rPr>
        <w:t>医疗器械生产企业许可证；</w:t>
      </w:r>
    </w:p>
    <w:p w14:paraId="3F540B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5.4</w:t>
      </w:r>
      <w:r>
        <w:rPr>
          <w:rFonts w:hint="default" w:ascii="仿宋" w:hAnsi="仿宋" w:eastAsia="仿宋" w:cs="仿宋"/>
          <w:color w:val="000000"/>
          <w:kern w:val="0"/>
          <w:sz w:val="22"/>
          <w:szCs w:val="22"/>
          <w:lang w:val="en-US" w:eastAsia="zh-CN" w:bidi="zh-CN"/>
        </w:rPr>
        <w:t>经销商获得的委托授权书（逐级）；</w:t>
      </w:r>
    </w:p>
    <w:p w14:paraId="02F271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5.5</w:t>
      </w:r>
      <w:r>
        <w:rPr>
          <w:rFonts w:hint="default" w:ascii="仿宋" w:hAnsi="仿宋" w:eastAsia="仿宋" w:cs="仿宋"/>
          <w:color w:val="000000"/>
          <w:kern w:val="0"/>
          <w:sz w:val="22"/>
          <w:szCs w:val="22"/>
          <w:lang w:val="en-US" w:eastAsia="zh-CN" w:bidi="zh-CN"/>
        </w:rPr>
        <w:t>产品所涉及逐级授权经销商的企业法人营业执照。</w:t>
      </w:r>
    </w:p>
    <w:p w14:paraId="7DA0EC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eastAsia" w:ascii="仿宋" w:hAnsi="仿宋" w:eastAsia="仿宋" w:cs="仿宋"/>
          <w:color w:val="000000"/>
          <w:kern w:val="0"/>
          <w:sz w:val="22"/>
          <w:szCs w:val="22"/>
          <w:lang w:val="en-US" w:eastAsia="zh-CN" w:bidi="zh-CN"/>
        </w:rPr>
        <w:t>5.6</w:t>
      </w:r>
      <w:r>
        <w:rPr>
          <w:rFonts w:hint="default" w:ascii="仿宋" w:hAnsi="仿宋" w:eastAsia="仿宋" w:cs="仿宋"/>
          <w:color w:val="000000"/>
          <w:kern w:val="0"/>
          <w:sz w:val="22"/>
          <w:szCs w:val="22"/>
          <w:lang w:val="en-US" w:eastAsia="zh-CN" w:bidi="zh-CN"/>
        </w:rPr>
        <w:t>采购人要求提供的相关资料。</w:t>
      </w:r>
    </w:p>
    <w:p w14:paraId="2BFFAE2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0" w:firstLineChars="0"/>
        <w:jc w:val="left"/>
        <w:textAlignment w:val="auto"/>
        <w:rPr>
          <w:rFonts w:hint="default" w:ascii="仿宋" w:hAnsi="仿宋" w:eastAsia="仿宋" w:cs="仿宋"/>
          <w:color w:val="000000"/>
          <w:kern w:val="0"/>
          <w:sz w:val="22"/>
          <w:szCs w:val="22"/>
          <w:lang w:val="en-US" w:eastAsia="zh-CN" w:bidi="zh-CN"/>
        </w:rPr>
      </w:pPr>
      <w:r>
        <w:rPr>
          <w:rFonts w:hint="default" w:ascii="仿宋" w:hAnsi="仿宋" w:eastAsia="仿宋" w:cs="仿宋"/>
          <w:color w:val="000000"/>
          <w:kern w:val="0"/>
          <w:sz w:val="22"/>
          <w:szCs w:val="22"/>
          <w:lang w:val="en-US" w:eastAsia="zh-CN" w:bidi="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color w:val="000000"/>
          <w:kern w:val="0"/>
          <w:sz w:val="22"/>
          <w:szCs w:val="22"/>
          <w:lang w:val="en-US" w:eastAsia="zh-CN" w:bidi="zh-CN"/>
        </w:rPr>
        <w:t>中选人</w:t>
      </w:r>
      <w:r>
        <w:rPr>
          <w:rFonts w:hint="default" w:ascii="仿宋" w:hAnsi="仿宋" w:eastAsia="仿宋" w:cs="仿宋"/>
          <w:color w:val="000000"/>
          <w:kern w:val="0"/>
          <w:sz w:val="22"/>
          <w:szCs w:val="22"/>
          <w:lang w:val="en-US" w:eastAsia="zh-CN" w:bidi="zh-CN"/>
        </w:rPr>
        <w:t>或厂家原因无法按上述要求执行的，则采购人可以</w:t>
      </w:r>
      <w:r>
        <w:rPr>
          <w:rFonts w:hint="eastAsia" w:ascii="仿宋" w:hAnsi="仿宋" w:eastAsia="仿宋" w:cs="仿宋"/>
          <w:color w:val="000000"/>
          <w:kern w:val="0"/>
          <w:sz w:val="22"/>
          <w:szCs w:val="22"/>
          <w:lang w:val="en-US" w:eastAsia="zh-CN" w:bidi="zh-CN"/>
        </w:rPr>
        <w:t>部分</w:t>
      </w:r>
      <w:r>
        <w:rPr>
          <w:rFonts w:hint="default" w:ascii="仿宋" w:hAnsi="仿宋" w:eastAsia="仿宋" w:cs="仿宋"/>
          <w:color w:val="000000"/>
          <w:kern w:val="0"/>
          <w:sz w:val="22"/>
          <w:szCs w:val="22"/>
          <w:lang w:val="en-US" w:eastAsia="zh-CN" w:bidi="zh-CN"/>
        </w:rPr>
        <w:t>解除</w:t>
      </w:r>
      <w:r>
        <w:rPr>
          <w:rFonts w:hint="eastAsia" w:ascii="仿宋" w:hAnsi="仿宋" w:eastAsia="仿宋" w:cs="仿宋"/>
          <w:color w:val="000000"/>
          <w:kern w:val="0"/>
          <w:sz w:val="22"/>
          <w:szCs w:val="22"/>
          <w:lang w:val="en-US" w:eastAsia="zh-CN" w:bidi="zh-CN"/>
        </w:rPr>
        <w:t>采购合同</w:t>
      </w:r>
      <w:r>
        <w:rPr>
          <w:rFonts w:hint="default" w:ascii="仿宋" w:hAnsi="仿宋" w:eastAsia="仿宋" w:cs="仿宋"/>
          <w:color w:val="000000"/>
          <w:kern w:val="0"/>
          <w:sz w:val="22"/>
          <w:szCs w:val="22"/>
          <w:lang w:val="en-US" w:eastAsia="zh-CN" w:bidi="zh-CN"/>
        </w:rPr>
        <w:t>。</w:t>
      </w:r>
    </w:p>
    <w:p w14:paraId="57FCC7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kern w:val="2"/>
          <w:sz w:val="24"/>
          <w:szCs w:val="24"/>
          <w:shd w:val="clear" w:fill="auto"/>
          <w:lang w:val="en-US" w:eastAsia="zh-CN" w:bidi="ar-SA"/>
        </w:rPr>
        <w:t>六、</w:t>
      </w:r>
      <w:r>
        <w:rPr>
          <w:rFonts w:hint="eastAsia" w:ascii="楷体" w:hAnsi="楷体" w:eastAsia="楷体" w:cs="楷体"/>
          <w:b/>
          <w:bCs/>
          <w:color w:val="auto"/>
          <w:sz w:val="24"/>
          <w:szCs w:val="24"/>
          <w:highlight w:val="none"/>
          <w:shd w:val="clear" w:color="auto" w:fill="auto"/>
          <w:lang w:val="en-US" w:eastAsia="zh-CN"/>
        </w:rPr>
        <w:t>医用耗材质量保证</w:t>
      </w:r>
    </w:p>
    <w:p w14:paraId="7FDE461B">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0608DCDA">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3351973D">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2CF2740F">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228BFA41">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10EB2EC">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6F1B13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楷体" w:hAnsi="楷体" w:eastAsia="楷体" w:cs="楷体"/>
          <w:b/>
          <w:bCs/>
          <w:color w:val="auto"/>
          <w:sz w:val="24"/>
          <w:szCs w:val="24"/>
          <w:highlight w:val="none"/>
          <w:shd w:val="clear" w:color="auto" w:fill="auto"/>
          <w:lang w:val="en-US" w:eastAsia="zh-CN"/>
        </w:rPr>
        <w:t>七、包装和运输</w:t>
      </w:r>
    </w:p>
    <w:p w14:paraId="39FEC1A0">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（1）投标人须严格按照《商品包装政府采购需求标准(试行)》、《快递包装政府采购需 求标准(试行)》(财办库〔2020〕123 号)的要求进行产品及相关快递服务的包装。 </w:t>
      </w:r>
    </w:p>
    <w:p w14:paraId="34C44F4F">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67DEE1E2">
      <w:pPr>
        <w:keepNext w:val="0"/>
        <w:keepLines w:val="0"/>
        <w:pageBreakBefore w:val="0"/>
        <w:widowControl/>
        <w:kinsoku/>
        <w:wordWrap w:val="0"/>
        <w:overflowPunct/>
        <w:topLinePunct/>
        <w:autoSpaceDE/>
        <w:autoSpaceDN/>
        <w:bidi w:val="0"/>
        <w:adjustRightInd/>
        <w:snapToGrid/>
        <w:spacing w:line="240" w:lineRule="auto"/>
        <w:ind w:firstLine="0" w:firstLineChars="0"/>
        <w:jc w:val="lef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lang w:val="en-US" w:eastAsia="zh-CN"/>
        </w:rPr>
        <w:t>（3）本次采购的标的物需要运输，投标人在合同约定的时间内将标的物运输至合同约定地点</w:t>
      </w:r>
      <w:r>
        <w:rPr>
          <w:rFonts w:hint="eastAsia" w:ascii="仿宋" w:hAnsi="仿宋" w:eastAsia="仿宋" w:cs="仿宋"/>
          <w:color w:val="000000"/>
          <w:sz w:val="22"/>
          <w:szCs w:val="22"/>
          <w:highlight w:val="none"/>
          <w:lang w:val="en-US" w:eastAsia="zh-CN"/>
        </w:rPr>
        <w:t>。</w:t>
      </w:r>
    </w:p>
    <w:p w14:paraId="4EF90E24">
      <w:pPr>
        <w:pStyle w:val="7"/>
        <w:keepNext w:val="0"/>
        <w:keepLines w:val="0"/>
        <w:pageBreakBefore w:val="0"/>
        <w:kinsoku/>
        <w:wordWrap/>
        <w:overflowPunct/>
        <w:topLinePunct w:val="0"/>
        <w:autoSpaceDE/>
        <w:autoSpaceDN/>
        <w:bidi w:val="0"/>
        <w:adjustRightInd/>
        <w:snapToGrid/>
        <w:jc w:val="left"/>
        <w:textAlignment w:val="auto"/>
        <w:outlineLvl w:val="1"/>
        <w:rPr>
          <w:rFonts w:hint="eastAsia" w:ascii="仿宋" w:hAnsi="仿宋" w:eastAsia="仿宋" w:cs="仿宋"/>
          <w:highlight w:val="none"/>
        </w:rPr>
      </w:pPr>
      <w:r>
        <w:rPr>
          <w:rFonts w:hint="eastAsia" w:ascii="仿宋" w:hAnsi="仿宋" w:eastAsia="仿宋" w:cs="仿宋"/>
          <w:b/>
          <w:sz w:val="28"/>
          <w:highlight w:val="none"/>
        </w:rPr>
        <w:t>3.</w:t>
      </w:r>
      <w:r>
        <w:rPr>
          <w:rFonts w:hint="eastAsia" w:ascii="仿宋" w:hAnsi="仿宋" w:eastAsia="仿宋" w:cs="仿宋"/>
          <w:b/>
          <w:sz w:val="28"/>
          <w:highlight w:val="none"/>
          <w:lang w:val="en-US" w:eastAsia="zh-CN"/>
        </w:rPr>
        <w:t>4</w:t>
      </w:r>
      <w:r>
        <w:rPr>
          <w:rFonts w:hint="eastAsia" w:ascii="仿宋" w:hAnsi="仿宋" w:eastAsia="仿宋" w:cs="仿宋"/>
          <w:b/>
          <w:sz w:val="28"/>
          <w:highlight w:val="none"/>
        </w:rPr>
        <w:t>.其他要求</w:t>
      </w:r>
    </w:p>
    <w:p w14:paraId="1E892A51">
      <w:pPr>
        <w:pStyle w:val="7"/>
        <w:keepNext w:val="0"/>
        <w:keepLines w:val="0"/>
        <w:pageBreakBefore w:val="0"/>
        <w:widowControl/>
        <w:kinsoku/>
        <w:wordWrap w:val="0"/>
        <w:overflowPunct/>
        <w:topLinePunct/>
        <w:autoSpaceDE/>
        <w:autoSpaceDN/>
        <w:bidi w:val="0"/>
        <w:adjustRightInd/>
        <w:snapToGrid/>
        <w:spacing w:line="240" w:lineRule="auto"/>
        <w:ind w:firstLine="0" w:firstLineChars="0"/>
        <w:jc w:val="left"/>
        <w:textAlignment w:val="auto"/>
        <w:rPr>
          <w:rFonts w:hint="eastAsia" w:ascii="仿宋" w:hAnsi="仿宋" w:eastAsia="仿宋" w:cs="仿宋"/>
          <w:color w:val="auto"/>
          <w:sz w:val="22"/>
          <w:szCs w:val="22"/>
          <w:highlight w:val="none"/>
          <w:shd w:val="clear" w:color="auto" w:fill="auto"/>
          <w:lang w:val="en-US" w:eastAsia="zh-CN"/>
        </w:rPr>
      </w:pPr>
      <w:r>
        <w:rPr>
          <w:rFonts w:hint="eastAsia" w:ascii="仿宋" w:hAnsi="仿宋" w:eastAsia="仿宋" w:cs="仿宋"/>
          <w:b/>
          <w:bCs/>
          <w:sz w:val="24"/>
          <w:szCs w:val="24"/>
          <w:highlight w:val="none"/>
          <w:lang w:val="en-US" w:eastAsia="zh-CN"/>
        </w:rPr>
        <w:t>一、</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sz w:val="24"/>
          <w:szCs w:val="24"/>
          <w:highlight w:val="none"/>
          <w:shd w:val="clear" w:color="auto" w:fill="auto"/>
        </w:rPr>
        <w:t>履行期限</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val="0"/>
          <w:bCs w:val="0"/>
          <w:color w:val="auto"/>
          <w:sz w:val="22"/>
          <w:szCs w:val="22"/>
          <w:highlight w:val="none"/>
          <w:shd w:val="clear" w:color="auto" w:fill="auto"/>
          <w:lang w:val="en-US" w:eastAsia="zh-CN"/>
        </w:rPr>
        <w:t>一年</w:t>
      </w:r>
      <w:r>
        <w:rPr>
          <w:rFonts w:hint="eastAsia" w:ascii="仿宋" w:hAnsi="仿宋" w:eastAsia="仿宋" w:cs="仿宋"/>
          <w:color w:val="000000"/>
          <w:kern w:val="0"/>
          <w:sz w:val="22"/>
          <w:szCs w:val="22"/>
          <w:highlight w:val="none"/>
          <w:u w:val="none"/>
          <w:lang w:val="en-US" w:eastAsia="zh-CN" w:bidi="ar"/>
        </w:rPr>
        <w:t>。</w:t>
      </w:r>
    </w:p>
    <w:p w14:paraId="473D00C3">
      <w:pPr>
        <w:pStyle w:val="7"/>
        <w:keepNext w:val="0"/>
        <w:keepLines w:val="0"/>
        <w:pageBreakBefore w:val="0"/>
        <w:widowControl/>
        <w:kinsoku/>
        <w:wordWrap w:val="0"/>
        <w:overflowPunct/>
        <w:topLinePunct/>
        <w:autoSpaceDE/>
        <w:autoSpaceDN/>
        <w:bidi w:val="0"/>
        <w:adjustRightInd/>
        <w:snapToGrid/>
        <w:spacing w:line="240" w:lineRule="auto"/>
        <w:ind w:firstLine="0" w:firstLineChars="0"/>
        <w:jc w:val="left"/>
        <w:textAlignment w:val="auto"/>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二、★支付方式：</w:t>
      </w:r>
      <w:r>
        <w:rPr>
          <w:rFonts w:hint="eastAsia" w:ascii="仿宋" w:hAnsi="仿宋" w:eastAsia="仿宋" w:cs="仿宋"/>
          <w:color w:val="000000"/>
          <w:kern w:val="0"/>
          <w:sz w:val="22"/>
          <w:szCs w:val="22"/>
          <w:highlight w:val="none"/>
          <w:u w:val="none"/>
          <w:lang w:val="en-US" w:eastAsia="zh-CN" w:bidi="ar"/>
        </w:rPr>
        <w:t>双方协商确定。</w:t>
      </w:r>
    </w:p>
    <w:p w14:paraId="418CF81C">
      <w:pPr>
        <w:pStyle w:val="7"/>
        <w:keepNext w:val="0"/>
        <w:keepLines w:val="0"/>
        <w:pageBreakBefore w:val="0"/>
        <w:widowControl/>
        <w:numPr>
          <w:ilvl w:val="0"/>
          <w:numId w:val="0"/>
        </w:numPr>
        <w:kinsoku/>
        <w:wordWrap w:val="0"/>
        <w:overflowPunct/>
        <w:topLinePunct/>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color w:val="auto"/>
          <w:sz w:val="24"/>
          <w:highlight w:val="none"/>
          <w:shd w:val="clear" w:color="auto" w:fill="auto"/>
        </w:rPr>
      </w:pPr>
      <w:r>
        <w:rPr>
          <w:rFonts w:hint="eastAsia" w:ascii="Times New Roman" w:hAnsi="Times New Roman" w:eastAsia="仿宋" w:cs="Times New Roman"/>
          <w:b/>
          <w:bCs/>
          <w:color w:val="auto"/>
          <w:sz w:val="24"/>
          <w:highlight w:val="none"/>
          <w:shd w:val="clear" w:fill="auto"/>
          <w:lang w:val="en-US" w:eastAsia="zh-CN"/>
        </w:rPr>
        <w:t>三、</w:t>
      </w:r>
      <w:r>
        <w:rPr>
          <w:rFonts w:hint="default" w:ascii="Times New Roman" w:hAnsi="Times New Roman" w:eastAsia="仿宋" w:cs="Times New Roman"/>
          <w:b/>
          <w:bCs/>
          <w:color w:val="auto"/>
          <w:sz w:val="24"/>
          <w:highlight w:val="none"/>
          <w:shd w:val="clear" w:color="auto" w:fill="auto"/>
        </w:rPr>
        <w:t>违约责任与解决争议的方法</w:t>
      </w:r>
    </w:p>
    <w:p w14:paraId="13E871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b/>
          <w:bCs/>
          <w:color w:val="000000"/>
          <w:kern w:val="0"/>
          <w:sz w:val="22"/>
          <w:szCs w:val="22"/>
          <w:highlight w:val="none"/>
          <w:shd w:val="clear" w:color="auto" w:fill="auto"/>
          <w:lang w:bidi="zh-CN"/>
        </w:rPr>
      </w:pPr>
      <w:r>
        <w:rPr>
          <w:rFonts w:hint="default" w:ascii="仿宋" w:hAnsi="仿宋" w:eastAsia="仿宋" w:cs="仿宋"/>
          <w:b/>
          <w:bCs/>
          <w:color w:val="000000"/>
          <w:kern w:val="0"/>
          <w:sz w:val="22"/>
          <w:szCs w:val="22"/>
          <w:highlight w:val="none"/>
          <w:shd w:val="clear" w:color="auto" w:fill="auto"/>
          <w:lang w:bidi="zh-CN"/>
        </w:rPr>
        <w:t>违约责任</w:t>
      </w:r>
    </w:p>
    <w:p w14:paraId="721BB1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1</w:t>
      </w:r>
      <w:r>
        <w:rPr>
          <w:rFonts w:hint="eastAsia" w:ascii="仿宋" w:hAnsi="仿宋" w:eastAsia="仿宋" w:cs="仿宋"/>
          <w:color w:val="000000"/>
          <w:kern w:val="0"/>
          <w:sz w:val="22"/>
          <w:szCs w:val="22"/>
          <w:highlight w:val="none"/>
          <w:shd w:val="clear" w:color="auto" w:fill="auto"/>
          <w:lang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逾期15日内不能提供</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所需医用耗材的，应向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每日支付该批次货款千分之三的违约金。</w:t>
      </w:r>
    </w:p>
    <w:p w14:paraId="19B01A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2</w:t>
      </w:r>
      <w:r>
        <w:rPr>
          <w:rFonts w:hint="eastAsia" w:ascii="仿宋" w:hAnsi="仿宋" w:eastAsia="仿宋" w:cs="仿宋"/>
          <w:color w:val="000000"/>
          <w:kern w:val="0"/>
          <w:sz w:val="22"/>
          <w:szCs w:val="22"/>
          <w:highlight w:val="none"/>
          <w:shd w:val="clear" w:color="auto" w:fill="auto"/>
          <w:lang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逾期15日及以上不能交付以上产品的，视同不能供货，须向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支付该批次货款的10%的违约金，同时</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可以单方面解除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w:t>
      </w:r>
    </w:p>
    <w:p w14:paraId="3E9EDA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3</w:t>
      </w:r>
      <w:r>
        <w:rPr>
          <w:rFonts w:hint="eastAsia" w:ascii="仿宋" w:hAnsi="仿宋" w:eastAsia="仿宋" w:cs="仿宋"/>
          <w:color w:val="000000"/>
          <w:kern w:val="0"/>
          <w:sz w:val="22"/>
          <w:szCs w:val="22"/>
          <w:highlight w:val="none"/>
          <w:shd w:val="clear" w:color="auto" w:fill="auto"/>
          <w:lang w:bidi="zh-CN"/>
        </w:rPr>
        <w:t>.</w:t>
      </w:r>
      <w:r>
        <w:rPr>
          <w:rFonts w:hint="default" w:ascii="仿宋" w:hAnsi="仿宋" w:eastAsia="仿宋" w:cs="仿宋"/>
          <w:color w:val="000000"/>
          <w:kern w:val="0"/>
          <w:sz w:val="22"/>
          <w:szCs w:val="22"/>
          <w:highlight w:val="none"/>
          <w:shd w:val="clear" w:color="auto" w:fill="auto"/>
          <w:lang w:bidi="zh-CN"/>
        </w:rPr>
        <w:t>若因</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原因造成</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被监管部门通报三次及以上的或者</w:t>
      </w:r>
      <w:r>
        <w:rPr>
          <w:rFonts w:hint="default" w:ascii="仿宋" w:hAnsi="仿宋" w:eastAsia="仿宋" w:cs="仿宋"/>
          <w:color w:val="000000"/>
          <w:kern w:val="0"/>
          <w:sz w:val="22"/>
          <w:szCs w:val="22"/>
          <w:highlight w:val="none"/>
          <w:shd w:val="clear" w:color="auto" w:fill="auto"/>
          <w:lang w:eastAsia="zh-CN" w:bidi="zh-CN"/>
        </w:rPr>
        <w:t>造成采购人违规采购</w:t>
      </w:r>
      <w:r>
        <w:rPr>
          <w:rFonts w:hint="default" w:ascii="仿宋" w:hAnsi="仿宋" w:eastAsia="仿宋" w:cs="仿宋"/>
          <w:color w:val="000000"/>
          <w:kern w:val="0"/>
          <w:sz w:val="22"/>
          <w:szCs w:val="22"/>
          <w:highlight w:val="none"/>
          <w:shd w:val="clear" w:color="auto" w:fill="auto"/>
          <w:lang w:bidi="zh-CN"/>
        </w:rPr>
        <w:t>，</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有权单方面解除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w:t>
      </w:r>
      <w:r>
        <w:rPr>
          <w:rFonts w:hint="default" w:ascii="仿宋" w:hAnsi="仿宋" w:eastAsia="仿宋" w:cs="仿宋"/>
          <w:color w:val="000000"/>
          <w:kern w:val="0"/>
          <w:sz w:val="22"/>
          <w:szCs w:val="22"/>
          <w:highlight w:val="none"/>
          <w:shd w:val="clear" w:color="auto" w:fill="auto"/>
          <w:lang w:eastAsia="zh-CN" w:bidi="zh-CN"/>
        </w:rPr>
        <w:t>同时，采购人有权要求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eastAsia="zh-CN" w:bidi="zh-CN"/>
        </w:rPr>
        <w:t>支付该批货物价款</w:t>
      </w:r>
      <w:r>
        <w:rPr>
          <w:rFonts w:hint="default" w:ascii="仿宋" w:hAnsi="仿宋" w:eastAsia="仿宋" w:cs="仿宋"/>
          <w:color w:val="000000"/>
          <w:kern w:val="0"/>
          <w:sz w:val="22"/>
          <w:szCs w:val="22"/>
          <w:highlight w:val="none"/>
          <w:shd w:val="clear" w:color="auto" w:fill="auto"/>
          <w:lang w:val="en-US" w:eastAsia="zh-CN" w:bidi="zh-CN"/>
        </w:rPr>
        <w:t>20%</w:t>
      </w:r>
      <w:r>
        <w:rPr>
          <w:rFonts w:hint="default" w:ascii="仿宋" w:hAnsi="仿宋" w:eastAsia="仿宋" w:cs="仿宋"/>
          <w:color w:val="000000"/>
          <w:kern w:val="0"/>
          <w:sz w:val="22"/>
          <w:szCs w:val="22"/>
          <w:highlight w:val="none"/>
          <w:shd w:val="clear" w:color="auto" w:fill="auto"/>
          <w:lang w:eastAsia="zh-CN" w:bidi="zh-CN"/>
        </w:rPr>
        <w:t>的违约金</w:t>
      </w:r>
      <w:r>
        <w:rPr>
          <w:rFonts w:hint="default" w:ascii="仿宋" w:hAnsi="仿宋" w:eastAsia="仿宋" w:cs="仿宋"/>
          <w:color w:val="000000"/>
          <w:kern w:val="0"/>
          <w:sz w:val="22"/>
          <w:szCs w:val="22"/>
          <w:highlight w:val="none"/>
          <w:shd w:val="clear" w:color="auto" w:fill="auto"/>
          <w:lang w:bidi="zh-CN"/>
        </w:rPr>
        <w:t>。</w:t>
      </w:r>
    </w:p>
    <w:p w14:paraId="0B4A63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4</w:t>
      </w:r>
      <w:r>
        <w:rPr>
          <w:rFonts w:hint="eastAsia" w:ascii="仿宋" w:hAnsi="仿宋" w:eastAsia="仿宋" w:cs="仿宋"/>
          <w:color w:val="000000"/>
          <w:kern w:val="0"/>
          <w:sz w:val="22"/>
          <w:szCs w:val="22"/>
          <w:highlight w:val="none"/>
          <w:shd w:val="clear" w:color="auto" w:fill="auto"/>
          <w:lang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销售的产品若发生严重医疗不良事件或被国家法定检测机构检测为不合格产品，视为</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违约导致不能实现</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目的，</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有权单方面解除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，并要求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限期收回不合格产品，并要求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需承担合同价款20%的违约金，违约金不足以</w:t>
      </w:r>
      <w:r>
        <w:rPr>
          <w:rFonts w:hint="default" w:ascii="仿宋" w:hAnsi="仿宋" w:eastAsia="仿宋" w:cs="仿宋"/>
          <w:color w:val="000000"/>
          <w:kern w:val="0"/>
          <w:sz w:val="22"/>
          <w:szCs w:val="22"/>
          <w:highlight w:val="none"/>
          <w:shd w:val="clear" w:color="auto" w:fill="auto"/>
          <w:lang w:val="en-US" w:eastAsia="zh-CN" w:bidi="zh-CN"/>
        </w:rPr>
        <w:t>弥补采购人</w:t>
      </w:r>
      <w:r>
        <w:rPr>
          <w:rFonts w:hint="default" w:ascii="仿宋" w:hAnsi="仿宋" w:eastAsia="仿宋" w:cs="仿宋"/>
          <w:color w:val="000000"/>
          <w:kern w:val="0"/>
          <w:sz w:val="22"/>
          <w:szCs w:val="22"/>
          <w:highlight w:val="none"/>
          <w:shd w:val="clear" w:color="auto" w:fill="auto"/>
          <w:lang w:bidi="zh-CN"/>
        </w:rPr>
        <w:t>损失的，</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还应当</w:t>
      </w:r>
      <w:r>
        <w:rPr>
          <w:rFonts w:hint="default" w:ascii="仿宋" w:hAnsi="仿宋" w:eastAsia="仿宋" w:cs="仿宋"/>
          <w:color w:val="000000"/>
          <w:kern w:val="0"/>
          <w:sz w:val="22"/>
          <w:szCs w:val="22"/>
          <w:highlight w:val="none"/>
          <w:shd w:val="clear" w:color="auto" w:fill="auto"/>
          <w:lang w:val="en-US" w:eastAsia="zh-CN" w:bidi="zh-CN"/>
        </w:rPr>
        <w:t>补足</w:t>
      </w:r>
      <w:r>
        <w:rPr>
          <w:rFonts w:hint="default" w:ascii="仿宋" w:hAnsi="仿宋" w:eastAsia="仿宋" w:cs="仿宋"/>
          <w:color w:val="000000"/>
          <w:kern w:val="0"/>
          <w:sz w:val="22"/>
          <w:szCs w:val="22"/>
          <w:highlight w:val="none"/>
          <w:shd w:val="clear" w:color="auto" w:fill="auto"/>
          <w:lang w:bidi="zh-CN"/>
        </w:rPr>
        <w:t>。即使产品已经验收入库（或安装调试完毕）后，</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才发现产品为不合格产品的，也视为</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违约，</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应当承担本条约定的责任。同时</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有权退回库存产品。</w:t>
      </w:r>
    </w:p>
    <w:p w14:paraId="1FC400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5</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若根据法律规定或本协议约定产生</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退、换货或拒绝收货情形，由</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承担退换货产生的各项税、费或其他支出。</w:t>
      </w:r>
    </w:p>
    <w:p w14:paraId="326480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6</w:t>
      </w:r>
      <w:r>
        <w:rPr>
          <w:rFonts w:hint="eastAsia" w:ascii="仿宋" w:hAnsi="仿宋" w:eastAsia="仿宋" w:cs="仿宋"/>
          <w:color w:val="000000"/>
          <w:kern w:val="0"/>
          <w:sz w:val="22"/>
          <w:szCs w:val="22"/>
          <w:highlight w:val="none"/>
          <w:shd w:val="clear" w:color="auto" w:fill="auto"/>
          <w:lang w:val="en-US" w:bidi="zh-CN"/>
        </w:rPr>
        <w:t>.</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不能保证及时供货，除应当向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承担违约责任外，</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仍有权单方面解除</w:t>
      </w:r>
      <w:r>
        <w:rPr>
          <w:rFonts w:hint="default" w:ascii="仿宋" w:hAnsi="仿宋" w:eastAsia="仿宋" w:cs="仿宋"/>
          <w:color w:val="000000"/>
          <w:kern w:val="0"/>
          <w:sz w:val="22"/>
          <w:szCs w:val="22"/>
          <w:highlight w:val="none"/>
          <w:shd w:val="clear" w:color="auto" w:fill="auto"/>
          <w:lang w:eastAsia="zh-CN" w:bidi="zh-CN"/>
        </w:rPr>
        <w:t>采购合同</w:t>
      </w:r>
      <w:r>
        <w:rPr>
          <w:rFonts w:hint="default" w:ascii="仿宋" w:hAnsi="仿宋" w:eastAsia="仿宋" w:cs="仿宋"/>
          <w:color w:val="000000"/>
          <w:kern w:val="0"/>
          <w:sz w:val="22"/>
          <w:szCs w:val="22"/>
          <w:highlight w:val="none"/>
          <w:shd w:val="clear" w:color="auto" w:fill="auto"/>
          <w:lang w:bidi="zh-CN"/>
        </w:rPr>
        <w:t>。</w:t>
      </w:r>
    </w:p>
    <w:p w14:paraId="43F89B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7</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因</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提供的产品不合格造成</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或第三人人身损害或财产损失的，由</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承担赔偿责任。</w:t>
      </w:r>
    </w:p>
    <w:p w14:paraId="240B62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val="en-US" w:eastAsia="zh-CN" w:bidi="zh-CN"/>
        </w:rPr>
      </w:pPr>
      <w:r>
        <w:rPr>
          <w:rFonts w:hint="default" w:ascii="仿宋" w:hAnsi="仿宋" w:eastAsia="仿宋" w:cs="仿宋"/>
          <w:color w:val="000000"/>
          <w:kern w:val="0"/>
          <w:sz w:val="22"/>
          <w:szCs w:val="22"/>
          <w:highlight w:val="none"/>
          <w:shd w:val="clear" w:color="auto" w:fill="auto"/>
          <w:lang w:val="en-US" w:eastAsia="zh-CN" w:bidi="zh-CN"/>
        </w:rPr>
        <w:t>8</w:t>
      </w:r>
      <w:r>
        <w:rPr>
          <w:rFonts w:hint="eastAsia" w:ascii="仿宋" w:hAnsi="仿宋" w:eastAsia="仿宋" w:cs="仿宋"/>
          <w:color w:val="000000"/>
          <w:kern w:val="0"/>
          <w:sz w:val="22"/>
          <w:szCs w:val="22"/>
          <w:highlight w:val="none"/>
          <w:shd w:val="clear" w:color="auto" w:fill="auto"/>
          <w:lang w:val="en-US" w:eastAsia="zh-CN" w:bidi="zh-CN"/>
        </w:rPr>
        <w:t>.</w:t>
      </w:r>
      <w:r>
        <w:rPr>
          <w:rFonts w:hint="default" w:ascii="仿宋" w:hAnsi="仿宋" w:eastAsia="仿宋" w:cs="仿宋"/>
          <w:color w:val="000000"/>
          <w:kern w:val="0"/>
          <w:sz w:val="22"/>
          <w:szCs w:val="22"/>
          <w:highlight w:val="none"/>
          <w:shd w:val="clear" w:color="auto" w:fill="auto"/>
          <w:lang w:val="en-US" w:eastAsia="zh-CN" w:bidi="zh-CN"/>
        </w:rPr>
        <w:tab/>
      </w:r>
      <w:r>
        <w:rPr>
          <w:rFonts w:hint="default" w:ascii="仿宋" w:hAnsi="仿宋" w:eastAsia="仿宋" w:cs="仿宋"/>
          <w:color w:val="000000"/>
          <w:kern w:val="0"/>
          <w:sz w:val="22"/>
          <w:szCs w:val="22"/>
          <w:highlight w:val="none"/>
          <w:shd w:val="clear" w:color="auto" w:fill="auto"/>
          <w:lang w:val="en-US" w:eastAsia="zh-CN" w:bidi="zh-CN"/>
        </w:rPr>
        <w:t>若因</w:t>
      </w:r>
      <w:r>
        <w:rPr>
          <w:rFonts w:hint="eastAsia" w:ascii="仿宋" w:hAnsi="仿宋" w:eastAsia="仿宋" w:cs="仿宋"/>
          <w:color w:val="000000"/>
          <w:kern w:val="0"/>
          <w:sz w:val="22"/>
          <w:szCs w:val="22"/>
          <w:highlight w:val="none"/>
          <w:shd w:val="clear" w:color="auto" w:fill="auto"/>
          <w:lang w:val="en-US" w:eastAsia="zh-CN" w:bidi="zh-CN"/>
        </w:rPr>
        <w:t>中选人</w:t>
      </w:r>
      <w:r>
        <w:rPr>
          <w:rFonts w:hint="default" w:ascii="仿宋" w:hAnsi="仿宋" w:eastAsia="仿宋" w:cs="仿宋"/>
          <w:color w:val="000000"/>
          <w:kern w:val="0"/>
          <w:sz w:val="22"/>
          <w:szCs w:val="22"/>
          <w:highlight w:val="none"/>
          <w:shd w:val="clear" w:color="auto" w:fill="auto"/>
          <w:lang w:val="en-US" w:eastAsia="zh-CN" w:bidi="zh-CN"/>
        </w:rPr>
        <w:t>原因造成采购人挂网执行存在问题以及线上支付不及时、造成采购人未挂网采购的或者存在其他问题的，</w:t>
      </w:r>
      <w:r>
        <w:rPr>
          <w:rFonts w:hint="eastAsia" w:ascii="仿宋" w:hAnsi="仿宋" w:eastAsia="仿宋" w:cs="仿宋"/>
          <w:color w:val="000000"/>
          <w:kern w:val="0"/>
          <w:sz w:val="22"/>
          <w:szCs w:val="22"/>
          <w:highlight w:val="none"/>
          <w:shd w:val="clear" w:color="auto" w:fill="auto"/>
          <w:lang w:val="en-US" w:eastAsia="zh-CN" w:bidi="zh-CN"/>
        </w:rPr>
        <w:t>中选人</w:t>
      </w:r>
      <w:r>
        <w:rPr>
          <w:rFonts w:hint="default" w:ascii="仿宋" w:hAnsi="仿宋" w:eastAsia="仿宋" w:cs="仿宋"/>
          <w:color w:val="000000"/>
          <w:kern w:val="0"/>
          <w:sz w:val="22"/>
          <w:szCs w:val="22"/>
          <w:highlight w:val="none"/>
          <w:shd w:val="clear" w:color="auto" w:fill="auto"/>
          <w:lang w:val="en-US" w:eastAsia="zh-CN" w:bidi="zh-CN"/>
        </w:rPr>
        <w:t>应承担违约责任，且</w:t>
      </w:r>
      <w:r>
        <w:rPr>
          <w:rFonts w:hint="default" w:ascii="仿宋" w:hAnsi="仿宋" w:eastAsia="仿宋" w:cs="仿宋"/>
          <w:color w:val="000000"/>
          <w:kern w:val="0"/>
          <w:sz w:val="22"/>
          <w:szCs w:val="22"/>
          <w:highlight w:val="none"/>
          <w:shd w:val="clear" w:color="auto" w:fill="auto"/>
          <w:lang w:eastAsia="zh-CN" w:bidi="zh-CN"/>
        </w:rPr>
        <w:t>采购人有权要求</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eastAsia="zh-CN" w:bidi="zh-CN"/>
        </w:rPr>
        <w:t>支付该批货物价款</w:t>
      </w:r>
      <w:r>
        <w:rPr>
          <w:rFonts w:hint="default" w:ascii="仿宋" w:hAnsi="仿宋" w:eastAsia="仿宋" w:cs="仿宋"/>
          <w:color w:val="000000"/>
          <w:kern w:val="0"/>
          <w:sz w:val="22"/>
          <w:szCs w:val="22"/>
          <w:highlight w:val="none"/>
          <w:shd w:val="clear" w:color="auto" w:fill="auto"/>
          <w:lang w:val="en-US" w:eastAsia="zh-CN" w:bidi="zh-CN"/>
        </w:rPr>
        <w:t>20%</w:t>
      </w:r>
      <w:r>
        <w:rPr>
          <w:rFonts w:hint="default" w:ascii="仿宋" w:hAnsi="仿宋" w:eastAsia="仿宋" w:cs="仿宋"/>
          <w:color w:val="000000"/>
          <w:kern w:val="0"/>
          <w:sz w:val="22"/>
          <w:szCs w:val="22"/>
          <w:highlight w:val="none"/>
          <w:shd w:val="clear" w:color="auto" w:fill="auto"/>
          <w:lang w:eastAsia="zh-CN" w:bidi="zh-CN"/>
        </w:rPr>
        <w:t>的违约金，采购人有权单方面解除合同。</w:t>
      </w:r>
    </w:p>
    <w:p w14:paraId="6ADDF3B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b/>
          <w:bCs/>
          <w:color w:val="000000"/>
          <w:kern w:val="0"/>
          <w:sz w:val="22"/>
          <w:szCs w:val="22"/>
          <w:highlight w:val="none"/>
          <w:shd w:val="clear" w:color="auto" w:fill="auto"/>
          <w:lang w:bidi="zh-CN"/>
        </w:rPr>
      </w:pPr>
      <w:r>
        <w:rPr>
          <w:rFonts w:hint="default" w:ascii="仿宋" w:hAnsi="仿宋" w:eastAsia="仿宋" w:cs="仿宋"/>
          <w:b/>
          <w:bCs/>
          <w:color w:val="000000"/>
          <w:kern w:val="0"/>
          <w:sz w:val="22"/>
          <w:szCs w:val="22"/>
          <w:highlight w:val="none"/>
          <w:shd w:val="clear" w:color="auto" w:fill="auto"/>
          <w:lang w:bidi="zh-CN"/>
        </w:rPr>
        <w:t>解决合同纠纷的方式</w:t>
      </w:r>
    </w:p>
    <w:p w14:paraId="50D92E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jc w:val="left"/>
        <w:textAlignment w:val="auto"/>
        <w:rPr>
          <w:rFonts w:hint="default" w:ascii="仿宋" w:hAnsi="仿宋" w:eastAsia="仿宋" w:cs="仿宋"/>
          <w:color w:val="000000"/>
          <w:kern w:val="0"/>
          <w:sz w:val="22"/>
          <w:szCs w:val="22"/>
          <w:highlight w:val="none"/>
          <w:shd w:val="clear" w:color="auto" w:fill="auto"/>
          <w:lang w:bidi="zh-CN"/>
        </w:rPr>
      </w:pPr>
      <w:r>
        <w:rPr>
          <w:rFonts w:hint="default" w:ascii="仿宋" w:hAnsi="仿宋" w:eastAsia="仿宋" w:cs="仿宋"/>
          <w:color w:val="000000"/>
          <w:kern w:val="0"/>
          <w:sz w:val="22"/>
          <w:szCs w:val="22"/>
          <w:highlight w:val="none"/>
          <w:shd w:val="clear" w:color="auto" w:fill="auto"/>
          <w:lang w:bidi="zh-CN"/>
        </w:rPr>
        <w:t>1</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因货物的质量问题发生的争议，由法定质量鉴定机构或其认可的质量鉴定机构进行质量鉴定。货物符合标准的，鉴定费由</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承担；货物不符合质量标准的，鉴定费由</w:t>
      </w:r>
      <w:r>
        <w:rPr>
          <w:rFonts w:hint="eastAsia" w:ascii="仿宋" w:hAnsi="仿宋" w:eastAsia="仿宋" w:cs="仿宋"/>
          <w:color w:val="000000"/>
          <w:kern w:val="0"/>
          <w:sz w:val="22"/>
          <w:szCs w:val="22"/>
          <w:highlight w:val="none"/>
          <w:shd w:val="clear" w:color="auto" w:fill="auto"/>
          <w:lang w:eastAsia="zh-CN" w:bidi="zh-CN"/>
        </w:rPr>
        <w:t>中选人</w:t>
      </w:r>
      <w:r>
        <w:rPr>
          <w:rFonts w:hint="default" w:ascii="仿宋" w:hAnsi="仿宋" w:eastAsia="仿宋" w:cs="仿宋"/>
          <w:color w:val="000000"/>
          <w:kern w:val="0"/>
          <w:sz w:val="22"/>
          <w:szCs w:val="22"/>
          <w:highlight w:val="none"/>
          <w:shd w:val="clear" w:color="auto" w:fill="auto"/>
          <w:lang w:bidi="zh-CN"/>
        </w:rPr>
        <w:t>承担。</w:t>
      </w:r>
    </w:p>
    <w:p w14:paraId="4B26F91A">
      <w:pPr>
        <w:pStyle w:val="7"/>
        <w:keepNext w:val="0"/>
        <w:keepLines w:val="0"/>
        <w:pageBreakBefore w:val="0"/>
        <w:widowControl/>
        <w:kinsoku/>
        <w:wordWrap w:val="0"/>
        <w:overflowPunct/>
        <w:topLinePunct/>
        <w:autoSpaceDE/>
        <w:autoSpaceDN/>
        <w:bidi w:val="0"/>
        <w:adjustRightInd/>
        <w:snapToGrid/>
        <w:spacing w:line="240" w:lineRule="auto"/>
        <w:ind w:firstLine="0" w:firstLineChars="0"/>
        <w:jc w:val="left"/>
        <w:textAlignment w:val="auto"/>
      </w:pPr>
      <w:r>
        <w:rPr>
          <w:rFonts w:hint="default" w:ascii="仿宋" w:hAnsi="仿宋" w:eastAsia="仿宋" w:cs="仿宋"/>
          <w:color w:val="000000"/>
          <w:kern w:val="0"/>
          <w:sz w:val="22"/>
          <w:szCs w:val="22"/>
          <w:highlight w:val="none"/>
          <w:shd w:val="clear" w:color="auto" w:fill="auto"/>
          <w:lang w:bidi="zh-CN"/>
        </w:rPr>
        <w:t>2</w:t>
      </w:r>
      <w:r>
        <w:rPr>
          <w:rFonts w:hint="eastAsia" w:ascii="仿宋" w:hAnsi="仿宋" w:eastAsia="仿宋" w:cs="仿宋"/>
          <w:color w:val="000000"/>
          <w:kern w:val="0"/>
          <w:sz w:val="22"/>
          <w:szCs w:val="22"/>
          <w:highlight w:val="none"/>
          <w:shd w:val="clear" w:color="auto" w:fill="auto"/>
          <w:lang w:val="en-US" w:bidi="zh-CN"/>
        </w:rPr>
        <w:t>.</w:t>
      </w:r>
      <w:r>
        <w:rPr>
          <w:rFonts w:hint="default" w:ascii="仿宋" w:hAnsi="仿宋" w:eastAsia="仿宋" w:cs="仿宋"/>
          <w:color w:val="000000"/>
          <w:kern w:val="0"/>
          <w:sz w:val="22"/>
          <w:szCs w:val="22"/>
          <w:highlight w:val="none"/>
          <w:shd w:val="clear" w:color="auto" w:fill="auto"/>
          <w:lang w:bidi="zh-CN"/>
        </w:rPr>
        <w:t>合同履行期间，若双方发生争议，可协商或由有关部门调解解决，协商或调解不成的，可向</w:t>
      </w:r>
      <w:r>
        <w:rPr>
          <w:rFonts w:hint="default" w:ascii="仿宋" w:hAnsi="仿宋" w:eastAsia="仿宋" w:cs="仿宋"/>
          <w:color w:val="000000"/>
          <w:kern w:val="0"/>
          <w:sz w:val="22"/>
          <w:szCs w:val="22"/>
          <w:highlight w:val="none"/>
          <w:shd w:val="clear" w:color="auto" w:fill="auto"/>
          <w:lang w:eastAsia="zh-CN" w:bidi="zh-CN"/>
        </w:rPr>
        <w:t>采购人</w:t>
      </w:r>
      <w:r>
        <w:rPr>
          <w:rFonts w:hint="default" w:ascii="仿宋" w:hAnsi="仿宋" w:eastAsia="仿宋" w:cs="仿宋"/>
          <w:color w:val="000000"/>
          <w:kern w:val="0"/>
          <w:sz w:val="22"/>
          <w:szCs w:val="22"/>
          <w:highlight w:val="none"/>
          <w:shd w:val="clear" w:color="auto" w:fill="auto"/>
          <w:lang w:bidi="zh-CN"/>
        </w:rPr>
        <w:t>所在地人民法院依法提起诉讼</w:t>
      </w:r>
      <w:r>
        <w:rPr>
          <w:rFonts w:hint="eastAsia" w:ascii="仿宋" w:hAnsi="仿宋" w:eastAsia="仿宋" w:cs="仿宋"/>
          <w:color w:val="000000"/>
          <w:kern w:val="0"/>
          <w:sz w:val="22"/>
          <w:szCs w:val="22"/>
          <w:highlight w:val="none"/>
          <w:shd w:val="clear" w:color="auto" w:fill="auto"/>
          <w:lang w:bidi="zh-CN"/>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C0239"/>
    <w:multiLevelType w:val="singleLevel"/>
    <w:tmpl w:val="541C0239"/>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1C662C9C"/>
    <w:rsid w:val="20611393"/>
    <w:rsid w:val="388A64C7"/>
    <w:rsid w:val="47744FDF"/>
    <w:rsid w:val="4A2D1A25"/>
    <w:rsid w:val="4D9A765D"/>
    <w:rsid w:val="50931F26"/>
    <w:rsid w:val="5A0A154E"/>
    <w:rsid w:val="5F691A0D"/>
    <w:rsid w:val="6033559F"/>
    <w:rsid w:val="67B475D0"/>
    <w:rsid w:val="67BA4749"/>
    <w:rsid w:val="73AD7A2C"/>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3395</Words>
  <Characters>3505</Characters>
  <Lines>0</Lines>
  <Paragraphs>0</Paragraphs>
  <TotalTime>0</TotalTime>
  <ScaleCrop>false</ScaleCrop>
  <LinksUpToDate>false</LinksUpToDate>
  <CharactersWithSpaces>3511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2025-09-05T06:56:54Z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DBE7EC6E60A14CD3B34453F372061C66_13</vt:lpwstr>
  </property>
</Properties>
</file>