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8525D">
      <w:pPr>
        <w:pStyle w:val="10"/>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4A548D9E">
      <w:pPr>
        <w:pStyle w:val="10"/>
        <w:ind w:firstLine="480"/>
        <w:jc w:val="left"/>
        <w:rPr>
          <w:rFonts w:hint="eastAsia" w:ascii="仿宋" w:hAnsi="仿宋" w:eastAsia="仿宋" w:cs="仿宋"/>
          <w:sz w:val="24"/>
          <w:szCs w:val="24"/>
        </w:rPr>
      </w:pPr>
      <w:r>
        <w:rPr>
          <w:rFonts w:hint="eastAsia" w:ascii="仿宋" w:hAnsi="仿宋" w:eastAsia="仿宋" w:cs="仿宋"/>
          <w:sz w:val="24"/>
          <w:szCs w:val="24"/>
        </w:rPr>
        <w:t>（注：本章的技术、服务及其他要求中，带“★”的要求为实质性要求。</w:t>
      </w:r>
      <w:r>
        <w:rPr>
          <w:rFonts w:hint="eastAsia" w:ascii="仿宋" w:hAnsi="仿宋" w:eastAsia="仿宋" w:cs="仿宋"/>
          <w:sz w:val="24"/>
          <w:szCs w:val="24"/>
          <w:lang w:eastAsia="zh-CN"/>
        </w:rPr>
        <w:t>采购人</w:t>
      </w:r>
      <w:r>
        <w:rPr>
          <w:rFonts w:hint="eastAsia" w:ascii="仿宋" w:hAnsi="仿宋" w:eastAsia="仿宋" w:cs="仿宋"/>
          <w:sz w:val="24"/>
          <w:szCs w:val="24"/>
        </w:rPr>
        <w:t>、代理机构应当根据项目实际要求合理设定，并在第五章符合性审查中明确响应要求。）</w:t>
      </w:r>
    </w:p>
    <w:p w14:paraId="12436B8B">
      <w:pPr>
        <w:pStyle w:val="10"/>
        <w:jc w:val="left"/>
        <w:outlineLvl w:val="1"/>
        <w:rPr>
          <w:rFonts w:hint="eastAsia" w:ascii="仿宋" w:hAnsi="仿宋" w:eastAsia="仿宋" w:cs="仿宋"/>
          <w:highlight w:val="none"/>
          <w:lang w:eastAsia="zh-CN"/>
        </w:rPr>
      </w:pPr>
      <w:r>
        <w:rPr>
          <w:rFonts w:hint="eastAsia" w:ascii="仿宋" w:hAnsi="仿宋" w:eastAsia="仿宋" w:cs="仿宋"/>
          <w:b/>
          <w:sz w:val="28"/>
          <w:highlight w:val="none"/>
          <w:lang w:val="en-US" w:eastAsia="zh-CN"/>
        </w:rPr>
        <w:t>★</w:t>
      </w: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5A079EFD">
      <w:pPr>
        <w:pStyle w:val="10"/>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采购包1：</w:t>
      </w:r>
    </w:p>
    <w:tbl>
      <w:tblPr>
        <w:tblStyle w:val="5"/>
        <w:tblW w:w="544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95"/>
        <w:gridCol w:w="438"/>
        <w:gridCol w:w="1895"/>
        <w:gridCol w:w="1138"/>
        <w:gridCol w:w="635"/>
        <w:gridCol w:w="767"/>
        <w:gridCol w:w="1029"/>
        <w:gridCol w:w="2876"/>
      </w:tblGrid>
      <w:tr w14:paraId="24EA28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62" w:hRule="atLeast"/>
          <w:jc w:val="center"/>
        </w:trPr>
        <w:tc>
          <w:tcPr>
            <w:tcW w:w="266" w:type="pct"/>
            <w:vAlign w:val="center"/>
          </w:tcPr>
          <w:p w14:paraId="02BB9C39">
            <w:pPr>
              <w:spacing w:line="400" w:lineRule="exact"/>
              <w:jc w:val="center"/>
              <w:rPr>
                <w:rFonts w:hint="eastAsia" w:ascii="Times New Roman" w:hAnsi="Times New Roman" w:eastAsia="仿宋" w:cs="Times New Roman"/>
                <w:b/>
                <w:bCs/>
                <w:color w:val="auto"/>
                <w:sz w:val="20"/>
                <w:szCs w:val="20"/>
                <w:highlight w:val="none"/>
                <w:shd w:val="clear" w:color="auto" w:fill="auto"/>
                <w:lang w:val="en-US" w:eastAsia="zh-CN"/>
              </w:rPr>
            </w:pPr>
            <w:r>
              <w:rPr>
                <w:rFonts w:hint="eastAsia" w:ascii="Times New Roman" w:hAnsi="Times New Roman" w:eastAsia="仿宋" w:cs="Times New Roman"/>
                <w:b/>
                <w:bCs/>
                <w:color w:val="auto"/>
                <w:sz w:val="20"/>
                <w:szCs w:val="20"/>
                <w:highlight w:val="none"/>
                <w:shd w:val="clear" w:color="auto" w:fill="auto"/>
                <w:lang w:val="en-US" w:eastAsia="zh-CN"/>
              </w:rPr>
              <w:t>包号</w:t>
            </w:r>
          </w:p>
        </w:tc>
        <w:tc>
          <w:tcPr>
            <w:tcW w:w="236" w:type="pct"/>
            <w:vAlign w:val="center"/>
          </w:tcPr>
          <w:p w14:paraId="66E3CC6A">
            <w:pPr>
              <w:spacing w:line="400" w:lineRule="exact"/>
              <w:jc w:val="center"/>
              <w:rPr>
                <w:rFonts w:hint="eastAsia" w:ascii="Times New Roman" w:hAnsi="Times New Roman" w:eastAsia="仿宋" w:cs="Times New Roman"/>
                <w:b/>
                <w:bCs/>
                <w:color w:val="auto"/>
                <w:sz w:val="20"/>
                <w:szCs w:val="20"/>
                <w:highlight w:val="none"/>
                <w:shd w:val="clear" w:color="auto" w:fill="auto"/>
                <w:lang w:val="en-US" w:eastAsia="zh-CN"/>
              </w:rPr>
            </w:pPr>
            <w:r>
              <w:rPr>
                <w:rFonts w:hint="eastAsia" w:ascii="Times New Roman" w:hAnsi="Times New Roman" w:eastAsia="仿宋" w:cs="Times New Roman"/>
                <w:b/>
                <w:bCs/>
                <w:color w:val="auto"/>
                <w:sz w:val="20"/>
                <w:szCs w:val="20"/>
                <w:highlight w:val="none"/>
                <w:shd w:val="clear" w:color="auto" w:fill="auto"/>
                <w:lang w:val="en-US" w:eastAsia="zh-CN"/>
              </w:rPr>
              <w:t>编号</w:t>
            </w:r>
          </w:p>
        </w:tc>
        <w:tc>
          <w:tcPr>
            <w:tcW w:w="1021" w:type="pct"/>
            <w:vAlign w:val="center"/>
          </w:tcPr>
          <w:p w14:paraId="77075FDB">
            <w:pPr>
              <w:spacing w:line="400" w:lineRule="exact"/>
              <w:jc w:val="center"/>
              <w:rPr>
                <w:rFonts w:hint="eastAsia" w:ascii="Times New Roman" w:hAnsi="Times New Roman" w:eastAsia="仿宋" w:cs="Times New Roman"/>
                <w:b/>
                <w:bCs/>
                <w:color w:val="auto"/>
                <w:sz w:val="20"/>
                <w:szCs w:val="20"/>
                <w:highlight w:val="none"/>
                <w:shd w:val="clear" w:color="auto" w:fill="auto"/>
                <w:lang w:val="en-US" w:eastAsia="zh-CN"/>
              </w:rPr>
            </w:pPr>
            <w:r>
              <w:rPr>
                <w:rFonts w:hint="eastAsia" w:ascii="Times New Roman" w:hAnsi="Times New Roman" w:eastAsia="仿宋" w:cs="Times New Roman"/>
                <w:b/>
                <w:bCs/>
                <w:color w:val="auto"/>
                <w:sz w:val="20"/>
                <w:szCs w:val="20"/>
                <w:highlight w:val="none"/>
                <w:shd w:val="clear" w:color="auto" w:fill="auto"/>
                <w:lang w:val="en-US" w:eastAsia="zh-CN"/>
              </w:rPr>
              <w:t>标的名称</w:t>
            </w:r>
          </w:p>
        </w:tc>
        <w:tc>
          <w:tcPr>
            <w:tcW w:w="613" w:type="pct"/>
            <w:vAlign w:val="center"/>
          </w:tcPr>
          <w:p w14:paraId="1A7F1A8D">
            <w:pPr>
              <w:spacing w:line="400" w:lineRule="exact"/>
              <w:jc w:val="center"/>
              <w:rPr>
                <w:rFonts w:hint="eastAsia" w:ascii="Times New Roman" w:hAnsi="Times New Roman" w:eastAsia="仿宋" w:cs="Times New Roman"/>
                <w:b/>
                <w:bCs/>
                <w:color w:val="auto"/>
                <w:sz w:val="20"/>
                <w:szCs w:val="20"/>
                <w:highlight w:val="none"/>
                <w:shd w:val="clear" w:color="auto" w:fill="auto"/>
                <w:lang w:val="en-US" w:eastAsia="zh-CN"/>
              </w:rPr>
            </w:pPr>
            <w:r>
              <w:rPr>
                <w:rFonts w:hint="eastAsia" w:ascii="Times New Roman" w:hAnsi="Times New Roman" w:eastAsia="仿宋" w:cs="Times New Roman"/>
                <w:b/>
                <w:bCs/>
                <w:color w:val="auto"/>
                <w:sz w:val="20"/>
                <w:szCs w:val="20"/>
                <w:highlight w:val="none"/>
                <w:shd w:val="clear" w:color="auto" w:fill="auto"/>
                <w:lang w:val="en-US" w:eastAsia="zh-CN"/>
              </w:rPr>
              <w:t>最高单价限价（</w:t>
            </w:r>
            <w:r>
              <w:rPr>
                <w:rFonts w:hint="default" w:ascii="Times New Roman" w:hAnsi="Times New Roman" w:eastAsia="仿宋" w:cs="Times New Roman"/>
                <w:b/>
                <w:bCs/>
                <w:color w:val="auto"/>
                <w:sz w:val="20"/>
                <w:szCs w:val="20"/>
                <w:highlight w:val="none"/>
                <w:shd w:val="clear" w:color="auto" w:fill="auto"/>
                <w:lang w:val="en-US" w:eastAsia="zh-CN"/>
              </w:rPr>
              <w:t>元</w:t>
            </w:r>
            <w:r>
              <w:rPr>
                <w:rFonts w:hint="eastAsia" w:ascii="Times New Roman" w:hAnsi="Times New Roman" w:eastAsia="仿宋" w:cs="Times New Roman"/>
                <w:b/>
                <w:bCs/>
                <w:color w:val="auto"/>
                <w:sz w:val="20"/>
                <w:szCs w:val="20"/>
                <w:highlight w:val="none"/>
                <w:shd w:val="clear" w:color="auto" w:fill="auto"/>
                <w:lang w:val="en-US" w:eastAsia="zh-CN"/>
              </w:rPr>
              <w:t>）</w:t>
            </w:r>
          </w:p>
        </w:tc>
        <w:tc>
          <w:tcPr>
            <w:tcW w:w="342" w:type="pct"/>
            <w:vAlign w:val="center"/>
          </w:tcPr>
          <w:p w14:paraId="4582BC79">
            <w:pPr>
              <w:spacing w:line="400" w:lineRule="exact"/>
              <w:jc w:val="center"/>
              <w:rPr>
                <w:rFonts w:hint="eastAsia" w:ascii="Times New Roman" w:hAnsi="Times New Roman" w:eastAsia="仿宋" w:cs="Times New Roman"/>
                <w:b/>
                <w:bCs/>
                <w:color w:val="auto"/>
                <w:sz w:val="20"/>
                <w:szCs w:val="20"/>
                <w:highlight w:val="none"/>
                <w:shd w:val="clear" w:color="auto" w:fill="auto"/>
                <w:lang w:val="en-US" w:eastAsia="zh-CN"/>
              </w:rPr>
            </w:pPr>
            <w:r>
              <w:rPr>
                <w:rFonts w:hint="default" w:ascii="Times New Roman" w:hAnsi="Times New Roman" w:eastAsia="仿宋" w:cs="Times New Roman"/>
                <w:b/>
                <w:bCs/>
                <w:color w:val="auto"/>
                <w:sz w:val="20"/>
                <w:szCs w:val="20"/>
                <w:highlight w:val="none"/>
                <w:shd w:val="clear" w:color="auto" w:fill="auto"/>
                <w:lang w:val="en-US" w:eastAsia="zh-CN"/>
              </w:rPr>
              <w:t>数量</w:t>
            </w:r>
          </w:p>
        </w:tc>
        <w:tc>
          <w:tcPr>
            <w:tcW w:w="413" w:type="pct"/>
            <w:vAlign w:val="center"/>
          </w:tcPr>
          <w:p w14:paraId="4C869DBD">
            <w:pPr>
              <w:spacing w:line="400" w:lineRule="exact"/>
              <w:jc w:val="center"/>
              <w:rPr>
                <w:rFonts w:hint="eastAsia" w:ascii="Times New Roman" w:hAnsi="Times New Roman" w:eastAsia="仿宋" w:cs="Times New Roman"/>
                <w:b/>
                <w:bCs/>
                <w:color w:val="auto"/>
                <w:sz w:val="20"/>
                <w:szCs w:val="20"/>
                <w:highlight w:val="none"/>
                <w:shd w:val="clear" w:color="auto" w:fill="auto"/>
                <w:lang w:val="en-US" w:eastAsia="zh-CN"/>
              </w:rPr>
            </w:pPr>
            <w:r>
              <w:rPr>
                <w:rFonts w:hint="eastAsia" w:ascii="Times New Roman" w:hAnsi="Times New Roman" w:eastAsia="仿宋" w:cs="Times New Roman"/>
                <w:b/>
                <w:bCs/>
                <w:color w:val="auto"/>
                <w:sz w:val="20"/>
                <w:szCs w:val="20"/>
                <w:highlight w:val="none"/>
                <w:shd w:val="clear" w:color="auto" w:fill="auto"/>
                <w:lang w:val="en-US" w:eastAsia="zh-CN"/>
              </w:rPr>
              <w:t>计量单位</w:t>
            </w:r>
          </w:p>
        </w:tc>
        <w:tc>
          <w:tcPr>
            <w:tcW w:w="554" w:type="pct"/>
            <w:vAlign w:val="center"/>
          </w:tcPr>
          <w:p w14:paraId="4146EFA6">
            <w:pPr>
              <w:spacing w:line="400" w:lineRule="exact"/>
              <w:jc w:val="center"/>
              <w:rPr>
                <w:rFonts w:hint="default" w:ascii="Times New Roman" w:hAnsi="Times New Roman" w:eastAsia="仿宋" w:cs="Times New Roman"/>
                <w:b/>
                <w:bCs/>
                <w:color w:val="auto"/>
                <w:sz w:val="20"/>
                <w:szCs w:val="20"/>
                <w:highlight w:val="none"/>
                <w:shd w:val="clear" w:color="auto" w:fill="auto"/>
                <w:lang w:val="en-US" w:eastAsia="zh-CN"/>
              </w:rPr>
            </w:pPr>
            <w:r>
              <w:rPr>
                <w:rFonts w:hint="eastAsia" w:ascii="Times New Roman" w:hAnsi="Times New Roman" w:eastAsia="仿宋" w:cs="Times New Roman"/>
                <w:b/>
                <w:bCs/>
                <w:color w:val="auto"/>
                <w:sz w:val="20"/>
                <w:szCs w:val="20"/>
                <w:highlight w:val="none"/>
                <w:shd w:val="clear" w:color="auto" w:fill="auto"/>
                <w:lang w:val="en-US" w:eastAsia="zh-CN"/>
              </w:rPr>
              <w:t>最高限价（</w:t>
            </w:r>
            <w:r>
              <w:rPr>
                <w:rFonts w:hint="default" w:ascii="Times New Roman" w:hAnsi="Times New Roman" w:eastAsia="仿宋" w:cs="Times New Roman"/>
                <w:b/>
                <w:bCs/>
                <w:color w:val="auto"/>
                <w:sz w:val="20"/>
                <w:szCs w:val="20"/>
                <w:highlight w:val="none"/>
                <w:shd w:val="clear" w:color="auto" w:fill="auto"/>
                <w:lang w:val="en-US" w:eastAsia="zh-CN"/>
              </w:rPr>
              <w:t>元</w:t>
            </w:r>
            <w:r>
              <w:rPr>
                <w:rFonts w:hint="eastAsia" w:ascii="Times New Roman" w:hAnsi="Times New Roman" w:eastAsia="仿宋" w:cs="Times New Roman"/>
                <w:b/>
                <w:bCs/>
                <w:color w:val="auto"/>
                <w:sz w:val="20"/>
                <w:szCs w:val="20"/>
                <w:highlight w:val="none"/>
                <w:shd w:val="clear" w:color="auto" w:fill="auto"/>
                <w:lang w:val="en-US" w:eastAsia="zh-CN"/>
              </w:rPr>
              <w:t>）</w:t>
            </w:r>
          </w:p>
        </w:tc>
        <w:tc>
          <w:tcPr>
            <w:tcW w:w="1550" w:type="pct"/>
            <w:vAlign w:val="center"/>
          </w:tcPr>
          <w:p w14:paraId="2E347EA1">
            <w:pPr>
              <w:spacing w:line="400" w:lineRule="exact"/>
              <w:jc w:val="center"/>
              <w:rPr>
                <w:rFonts w:hint="eastAsia" w:ascii="Times New Roman" w:hAnsi="Times New Roman" w:eastAsia="仿宋" w:cs="Times New Roman"/>
                <w:b/>
                <w:bCs/>
                <w:color w:val="auto"/>
                <w:sz w:val="20"/>
                <w:szCs w:val="20"/>
                <w:highlight w:val="none"/>
                <w:shd w:val="clear" w:color="auto" w:fill="auto"/>
                <w:lang w:val="en-US" w:eastAsia="zh-CN"/>
              </w:rPr>
            </w:pPr>
            <w:r>
              <w:rPr>
                <w:rFonts w:hint="default" w:ascii="Times New Roman" w:hAnsi="Times New Roman" w:eastAsia="仿宋" w:cs="Times New Roman"/>
                <w:b/>
                <w:bCs/>
                <w:color w:val="auto"/>
                <w:sz w:val="20"/>
                <w:szCs w:val="20"/>
                <w:highlight w:val="none"/>
                <w:shd w:val="clear" w:color="auto" w:fill="auto"/>
                <w:lang w:val="en-US" w:eastAsia="zh-CN"/>
              </w:rPr>
              <w:t>功能和质量要求</w:t>
            </w:r>
          </w:p>
        </w:tc>
      </w:tr>
      <w:tr w14:paraId="101237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03" w:hRule="atLeast"/>
          <w:jc w:val="center"/>
        </w:trPr>
        <w:tc>
          <w:tcPr>
            <w:tcW w:w="266" w:type="pct"/>
            <w:vAlign w:val="center"/>
          </w:tcPr>
          <w:p w14:paraId="5247FD9C">
            <w:pPr>
              <w:spacing w:line="400" w:lineRule="exact"/>
              <w:jc w:val="center"/>
              <w:rPr>
                <w:rFonts w:hint="default" w:ascii="Times New Roman" w:hAnsi="Times New Roman" w:eastAsia="仿宋" w:cs="Times New Roman"/>
                <w:b w:val="0"/>
                <w:bCs w:val="0"/>
                <w:color w:val="auto"/>
                <w:sz w:val="20"/>
                <w:szCs w:val="20"/>
                <w:highlight w:val="none"/>
                <w:shd w:val="clear" w:color="auto" w:fill="auto"/>
                <w:lang w:val="en-US" w:eastAsia="zh-CN"/>
              </w:rPr>
            </w:pPr>
            <w:r>
              <w:rPr>
                <w:rFonts w:hint="eastAsia" w:eastAsia="仿宋" w:cs="Times New Roman"/>
                <w:b w:val="0"/>
                <w:bCs w:val="0"/>
                <w:color w:val="auto"/>
                <w:sz w:val="20"/>
                <w:szCs w:val="20"/>
                <w:highlight w:val="none"/>
                <w:shd w:val="clear" w:color="auto" w:fill="auto"/>
                <w:lang w:val="en-US" w:eastAsia="zh-CN"/>
              </w:rPr>
              <w:t>1</w:t>
            </w:r>
          </w:p>
        </w:tc>
        <w:tc>
          <w:tcPr>
            <w:tcW w:w="236" w:type="pct"/>
            <w:vAlign w:val="center"/>
          </w:tcPr>
          <w:p w14:paraId="5CFB0B0E">
            <w:pPr>
              <w:spacing w:line="400" w:lineRule="exact"/>
              <w:jc w:val="center"/>
              <w:rPr>
                <w:rFonts w:hint="default" w:ascii="Times New Roman" w:hAnsi="Times New Roman" w:eastAsia="仿宋" w:cs="Times New Roman"/>
                <w:b w:val="0"/>
                <w:bCs w:val="0"/>
                <w:color w:val="auto"/>
                <w:sz w:val="20"/>
                <w:szCs w:val="20"/>
                <w:highlight w:val="none"/>
                <w:shd w:val="clear" w:color="auto" w:fill="auto"/>
                <w:lang w:val="en-US" w:eastAsia="zh-CN"/>
              </w:rPr>
            </w:pPr>
            <w:r>
              <w:rPr>
                <w:rFonts w:hint="eastAsia" w:eastAsia="仿宋" w:cs="Times New Roman"/>
                <w:b w:val="0"/>
                <w:bCs w:val="0"/>
                <w:color w:val="auto"/>
                <w:sz w:val="20"/>
                <w:szCs w:val="20"/>
                <w:highlight w:val="none"/>
                <w:shd w:val="clear" w:color="auto" w:fill="auto"/>
                <w:lang w:val="en-US" w:eastAsia="zh-CN"/>
              </w:rPr>
              <w:t>1</w:t>
            </w:r>
          </w:p>
        </w:tc>
        <w:tc>
          <w:tcPr>
            <w:tcW w:w="1021" w:type="pct"/>
            <w:shd w:val="clear" w:color="auto" w:fill="auto"/>
            <w:vAlign w:val="center"/>
          </w:tcPr>
          <w:p w14:paraId="600961F8">
            <w:pPr>
              <w:spacing w:line="400" w:lineRule="exact"/>
              <w:jc w:val="center"/>
              <w:rPr>
                <w:rFonts w:hint="eastAsia" w:ascii="Times New Roman" w:hAnsi="Times New Roman" w:eastAsia="仿宋" w:cs="Times New Roman"/>
                <w:b w:val="0"/>
                <w:bCs w:val="0"/>
                <w:color w:val="auto"/>
                <w:sz w:val="20"/>
                <w:szCs w:val="20"/>
                <w:highlight w:val="none"/>
                <w:shd w:val="clear" w:color="auto" w:fill="auto"/>
                <w:lang w:val="en-US" w:eastAsia="zh-CN"/>
              </w:rPr>
            </w:pPr>
            <w:r>
              <w:rPr>
                <w:rFonts w:hint="eastAsia" w:ascii="Times New Roman" w:hAnsi="Times New Roman" w:eastAsia="仿宋" w:cs="Times New Roman"/>
                <w:b w:val="0"/>
                <w:bCs w:val="0"/>
                <w:color w:val="auto"/>
                <w:sz w:val="20"/>
                <w:szCs w:val="20"/>
                <w:highlight w:val="none"/>
                <w:shd w:val="clear" w:color="auto" w:fill="auto"/>
                <w:lang w:val="en-US" w:eastAsia="zh-CN"/>
              </w:rPr>
              <w:t>内江市室间质评活动质控品配送服务</w:t>
            </w:r>
          </w:p>
        </w:tc>
        <w:tc>
          <w:tcPr>
            <w:tcW w:w="613" w:type="pct"/>
            <w:vAlign w:val="center"/>
          </w:tcPr>
          <w:p w14:paraId="6B49BFFE">
            <w:pPr>
              <w:spacing w:line="400" w:lineRule="exact"/>
              <w:jc w:val="center"/>
              <w:rPr>
                <w:rFonts w:hint="default" w:ascii="Times New Roman" w:hAnsi="Times New Roman" w:eastAsia="仿宋" w:cs="Times New Roman"/>
                <w:b w:val="0"/>
                <w:bCs w:val="0"/>
                <w:color w:val="auto"/>
                <w:sz w:val="20"/>
                <w:szCs w:val="20"/>
                <w:highlight w:val="none"/>
                <w:shd w:val="clear" w:color="auto" w:fill="auto"/>
                <w:lang w:val="en-US" w:eastAsia="zh-CN"/>
              </w:rPr>
            </w:pPr>
            <w:bookmarkStart w:id="1" w:name="OLE_LINK31"/>
            <w:bookmarkStart w:id="2" w:name="OLE_LINK30"/>
            <w:r>
              <w:rPr>
                <w:rFonts w:hint="eastAsia" w:ascii="Times New Roman" w:hAnsi="Times New Roman" w:eastAsia="仿宋" w:cs="Times New Roman"/>
                <w:b w:val="0"/>
                <w:bCs w:val="0"/>
                <w:color w:val="auto"/>
                <w:sz w:val="20"/>
                <w:szCs w:val="20"/>
                <w:highlight w:val="none"/>
                <w:shd w:val="clear" w:color="auto" w:fill="auto"/>
                <w:lang w:val="en-US" w:eastAsia="zh-CN"/>
              </w:rPr>
              <w:t>2</w:t>
            </w:r>
            <w:bookmarkEnd w:id="1"/>
            <w:bookmarkEnd w:id="2"/>
            <w:r>
              <w:rPr>
                <w:rFonts w:hint="eastAsia" w:ascii="Times New Roman" w:hAnsi="Times New Roman" w:eastAsia="仿宋" w:cs="Times New Roman"/>
                <w:b w:val="0"/>
                <w:bCs w:val="0"/>
                <w:color w:val="auto"/>
                <w:sz w:val="20"/>
                <w:szCs w:val="20"/>
                <w:highlight w:val="none"/>
                <w:shd w:val="clear" w:color="auto" w:fill="auto"/>
                <w:lang w:val="en-US" w:eastAsia="zh-CN"/>
              </w:rPr>
              <w:t>90000.00</w:t>
            </w:r>
          </w:p>
        </w:tc>
        <w:tc>
          <w:tcPr>
            <w:tcW w:w="342" w:type="pct"/>
            <w:vAlign w:val="center"/>
          </w:tcPr>
          <w:p w14:paraId="248872BF">
            <w:pPr>
              <w:spacing w:line="400" w:lineRule="exact"/>
              <w:jc w:val="center"/>
              <w:rPr>
                <w:rFonts w:hint="default" w:ascii="Times New Roman" w:hAnsi="Times New Roman" w:eastAsia="仿宋" w:cs="Times New Roman"/>
                <w:b w:val="0"/>
                <w:bCs w:val="0"/>
                <w:color w:val="auto"/>
                <w:sz w:val="20"/>
                <w:szCs w:val="20"/>
                <w:highlight w:val="none"/>
                <w:shd w:val="clear" w:color="auto" w:fill="auto"/>
                <w:lang w:val="en-US" w:eastAsia="zh-CN"/>
              </w:rPr>
            </w:pPr>
            <w:r>
              <w:rPr>
                <w:rFonts w:hint="eastAsia" w:ascii="Times New Roman" w:hAnsi="Times New Roman" w:eastAsia="仿宋" w:cs="Times New Roman"/>
                <w:b w:val="0"/>
                <w:bCs w:val="0"/>
                <w:color w:val="auto"/>
                <w:sz w:val="20"/>
                <w:szCs w:val="20"/>
                <w:highlight w:val="none"/>
                <w:shd w:val="clear" w:color="auto" w:fill="auto"/>
                <w:lang w:val="en-US" w:eastAsia="zh-CN"/>
              </w:rPr>
              <w:t>1</w:t>
            </w:r>
          </w:p>
        </w:tc>
        <w:tc>
          <w:tcPr>
            <w:tcW w:w="413" w:type="pct"/>
            <w:vAlign w:val="center"/>
          </w:tcPr>
          <w:p w14:paraId="64EED64B">
            <w:pPr>
              <w:spacing w:line="400" w:lineRule="exact"/>
              <w:jc w:val="center"/>
              <w:rPr>
                <w:rFonts w:hint="default" w:ascii="Times New Roman" w:hAnsi="Times New Roman" w:eastAsia="仿宋" w:cs="Times New Roman"/>
                <w:b w:val="0"/>
                <w:bCs w:val="0"/>
                <w:color w:val="auto"/>
                <w:sz w:val="20"/>
                <w:szCs w:val="20"/>
                <w:highlight w:val="none"/>
                <w:shd w:val="clear" w:color="auto" w:fill="auto"/>
                <w:lang w:val="en-US" w:eastAsia="zh-CN"/>
              </w:rPr>
            </w:pPr>
            <w:r>
              <w:rPr>
                <w:rFonts w:hint="eastAsia" w:ascii="Times New Roman" w:hAnsi="Times New Roman" w:eastAsia="仿宋" w:cs="Times New Roman"/>
                <w:b w:val="0"/>
                <w:bCs w:val="0"/>
                <w:color w:val="auto"/>
                <w:sz w:val="20"/>
                <w:szCs w:val="20"/>
                <w:highlight w:val="none"/>
                <w:shd w:val="clear" w:color="auto" w:fill="auto"/>
                <w:lang w:val="en-US" w:eastAsia="zh-CN"/>
              </w:rPr>
              <w:t>批</w:t>
            </w:r>
          </w:p>
        </w:tc>
        <w:tc>
          <w:tcPr>
            <w:tcW w:w="554" w:type="pct"/>
            <w:vAlign w:val="center"/>
          </w:tcPr>
          <w:p w14:paraId="75D74EF0">
            <w:pPr>
              <w:spacing w:line="400" w:lineRule="exact"/>
              <w:jc w:val="center"/>
              <w:rPr>
                <w:rFonts w:hint="default" w:ascii="Times New Roman" w:hAnsi="Times New Roman" w:eastAsia="仿宋" w:cs="Times New Roman"/>
                <w:b w:val="0"/>
                <w:bCs w:val="0"/>
                <w:color w:val="auto"/>
                <w:sz w:val="20"/>
                <w:szCs w:val="20"/>
                <w:highlight w:val="none"/>
                <w:shd w:val="clear" w:color="auto" w:fill="auto"/>
                <w:lang w:val="en-US" w:eastAsia="zh-CN"/>
              </w:rPr>
            </w:pPr>
            <w:r>
              <w:rPr>
                <w:rFonts w:hint="eastAsia" w:ascii="Times New Roman" w:hAnsi="Times New Roman" w:eastAsia="仿宋" w:cs="Times New Roman"/>
                <w:b w:val="0"/>
                <w:bCs w:val="0"/>
                <w:color w:val="auto"/>
                <w:sz w:val="20"/>
                <w:szCs w:val="20"/>
                <w:highlight w:val="none"/>
                <w:shd w:val="clear" w:color="auto" w:fill="auto"/>
                <w:lang w:val="en-US" w:eastAsia="zh-CN"/>
              </w:rPr>
              <w:t>290000.00</w:t>
            </w:r>
          </w:p>
        </w:tc>
        <w:tc>
          <w:tcPr>
            <w:tcW w:w="1550" w:type="pct"/>
            <w:vAlign w:val="center"/>
          </w:tcPr>
          <w:p w14:paraId="240F6F98">
            <w:pPr>
              <w:spacing w:line="400" w:lineRule="exact"/>
              <w:jc w:val="center"/>
              <w:rPr>
                <w:rFonts w:hint="eastAsia" w:ascii="Times New Roman" w:hAnsi="Times New Roman" w:eastAsia="仿宋" w:cs="Times New Roman"/>
                <w:b w:val="0"/>
                <w:bCs w:val="0"/>
                <w:color w:val="auto"/>
                <w:sz w:val="20"/>
                <w:szCs w:val="20"/>
                <w:highlight w:val="none"/>
                <w:shd w:val="clear" w:color="auto" w:fill="auto"/>
                <w:lang w:val="en-US" w:eastAsia="zh-CN"/>
              </w:rPr>
            </w:pPr>
            <w:r>
              <w:rPr>
                <w:rFonts w:hint="eastAsia" w:ascii="Times New Roman" w:hAnsi="Times New Roman" w:eastAsia="仿宋" w:cs="Times New Roman"/>
                <w:b w:val="0"/>
                <w:bCs w:val="0"/>
                <w:color w:val="auto"/>
                <w:sz w:val="20"/>
                <w:szCs w:val="20"/>
                <w:highlight w:val="none"/>
                <w:shd w:val="clear" w:color="auto" w:fill="auto"/>
                <w:lang w:val="en-US" w:eastAsia="zh-CN"/>
              </w:rPr>
              <w:t>按照内江市临床检验中心室间质评活动要求执行</w:t>
            </w:r>
          </w:p>
        </w:tc>
      </w:tr>
    </w:tbl>
    <w:p w14:paraId="56B2BDDC">
      <w:pPr>
        <w:pStyle w:val="10"/>
        <w:ind w:firstLine="480"/>
        <w:jc w:val="left"/>
        <w:rPr>
          <w:rFonts w:hint="eastAsia" w:ascii="仿宋" w:hAnsi="仿宋" w:eastAsia="仿宋" w:cs="仿宋"/>
        </w:rPr>
      </w:pPr>
    </w:p>
    <w:p w14:paraId="19E4FE91">
      <w:pPr>
        <w:pStyle w:val="10"/>
        <w:jc w:val="left"/>
        <w:outlineLvl w:val="1"/>
        <w:rPr>
          <w:rFonts w:hint="eastAsia" w:ascii="仿宋" w:hAnsi="仿宋" w:eastAsia="仿宋" w:cs="仿宋"/>
          <w:lang w:eastAsia="zh-CN"/>
        </w:rPr>
      </w:pPr>
      <w:r>
        <w:rPr>
          <w:rFonts w:hint="eastAsia" w:ascii="仿宋" w:hAnsi="仿宋" w:eastAsia="仿宋" w:cs="仿宋"/>
          <w:b/>
          <w:sz w:val="28"/>
        </w:rPr>
        <w:t>3.2.技术要求</w:t>
      </w:r>
    </w:p>
    <w:p w14:paraId="1492AA43">
      <w:pPr>
        <w:pStyle w:val="10"/>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p w14:paraId="000DEA11">
      <w:pPr>
        <w:spacing w:line="400" w:lineRule="exact"/>
        <w:jc w:val="left"/>
        <w:rPr>
          <w:rFonts w:hint="default" w:ascii="Times New Roman" w:hAnsi="Times New Roman" w:eastAsia="仿宋" w:cs="Times New Roman"/>
          <w:b/>
          <w:bCs/>
          <w:i w:val="0"/>
          <w:iCs w:val="0"/>
          <w:color w:val="auto"/>
          <w:kern w:val="0"/>
          <w:sz w:val="24"/>
          <w:szCs w:val="20"/>
          <w:highlight w:val="none"/>
          <w:u w:val="none"/>
          <w:shd w:val="clear" w:color="auto" w:fill="auto"/>
          <w:lang w:val="en-US" w:eastAsia="zh-CN"/>
        </w:rPr>
      </w:pPr>
      <w:r>
        <w:rPr>
          <w:rFonts w:hint="eastAsia" w:eastAsia="仿宋" w:cs="Times New Roman"/>
          <w:b/>
          <w:bCs/>
          <w:i w:val="0"/>
          <w:iCs w:val="0"/>
          <w:color w:val="auto"/>
          <w:kern w:val="0"/>
          <w:sz w:val="24"/>
          <w:szCs w:val="20"/>
          <w:highlight w:val="none"/>
          <w:u w:val="none"/>
          <w:shd w:val="clear" w:color="auto" w:fill="auto"/>
          <w:lang w:val="en-US" w:eastAsia="zh-CN"/>
        </w:rPr>
        <w:t>一、配送清单</w:t>
      </w:r>
    </w:p>
    <w:tbl>
      <w:tblPr>
        <w:tblStyle w:val="5"/>
        <w:tblW w:w="8438" w:type="dxa"/>
        <w:tblInd w:w="0" w:type="dxa"/>
        <w:tblLayout w:type="fixed"/>
        <w:tblCellMar>
          <w:top w:w="15" w:type="dxa"/>
          <w:left w:w="15" w:type="dxa"/>
          <w:bottom w:w="15" w:type="dxa"/>
          <w:right w:w="15" w:type="dxa"/>
        </w:tblCellMar>
      </w:tblPr>
      <w:tblGrid>
        <w:gridCol w:w="1457"/>
        <w:gridCol w:w="4156"/>
        <w:gridCol w:w="716"/>
        <w:gridCol w:w="2109"/>
      </w:tblGrid>
      <w:tr w14:paraId="3167EE38">
        <w:tblPrEx>
          <w:tblCellMar>
            <w:top w:w="15" w:type="dxa"/>
            <w:left w:w="15" w:type="dxa"/>
            <w:bottom w:w="15" w:type="dxa"/>
            <w:right w:w="15" w:type="dxa"/>
          </w:tblCellMar>
        </w:tblPrEx>
        <w:trPr>
          <w:trHeight w:val="476" w:hRule="atLeast"/>
        </w:trPr>
        <w:tc>
          <w:tcPr>
            <w:tcW w:w="14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F66B50">
            <w:pPr>
              <w:widowControl/>
              <w:jc w:val="center"/>
              <w:textAlignment w:val="center"/>
              <w:rPr>
                <w:rFonts w:hint="eastAsia" w:ascii="方正仿宋_GBK" w:hAnsi="方正仿宋_GBK" w:eastAsia="方正仿宋_GBK" w:cs="方正仿宋_GBK"/>
                <w:b/>
                <w:bCs/>
                <w:sz w:val="21"/>
                <w:szCs w:val="21"/>
              </w:rPr>
            </w:pPr>
            <w:r>
              <w:rPr>
                <w:rFonts w:hint="eastAsia" w:ascii="方正仿宋_GBK" w:hAnsi="方正仿宋_GBK" w:eastAsia="方正仿宋_GBK" w:cs="方正仿宋_GBK"/>
                <w:b/>
                <w:bCs/>
                <w:sz w:val="21"/>
                <w:szCs w:val="21"/>
                <w:lang w:bidi="zh-CN"/>
              </w:rPr>
              <w:t>质控品项目名称</w:t>
            </w:r>
          </w:p>
        </w:tc>
        <w:tc>
          <w:tcPr>
            <w:tcW w:w="41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9704B3">
            <w:pPr>
              <w:widowControl/>
              <w:jc w:val="center"/>
              <w:textAlignment w:val="center"/>
              <w:rPr>
                <w:rFonts w:hint="eastAsia" w:ascii="方正仿宋_GBK" w:hAnsi="方正仿宋_GBK" w:eastAsia="方正仿宋_GBK" w:cs="方正仿宋_GBK"/>
                <w:b/>
                <w:bCs/>
                <w:sz w:val="21"/>
                <w:szCs w:val="21"/>
              </w:rPr>
            </w:pPr>
            <w:r>
              <w:rPr>
                <w:rFonts w:hint="eastAsia" w:ascii="方正仿宋_GBK" w:hAnsi="方正仿宋_GBK" w:eastAsia="方正仿宋_GBK" w:cs="方正仿宋_GBK"/>
                <w:b/>
                <w:bCs/>
                <w:sz w:val="21"/>
                <w:szCs w:val="21"/>
              </w:rPr>
              <w:t>包含项目</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FB2DE8">
            <w:pPr>
              <w:widowControl/>
              <w:jc w:val="center"/>
              <w:textAlignment w:val="center"/>
              <w:rPr>
                <w:rFonts w:hint="eastAsia" w:ascii="方正仿宋_GBK" w:hAnsi="方正仿宋_GBK" w:eastAsia="方正仿宋_GBK" w:cs="方正仿宋_GBK"/>
                <w:b/>
                <w:bCs/>
                <w:sz w:val="21"/>
                <w:szCs w:val="21"/>
              </w:rPr>
            </w:pPr>
            <w:r>
              <w:rPr>
                <w:rFonts w:hint="eastAsia" w:ascii="仿宋" w:hAnsi="仿宋" w:eastAsia="仿宋" w:cs="仿宋"/>
                <w:b/>
                <w:bCs/>
                <w:color w:val="000000"/>
                <w:sz w:val="24"/>
                <w:szCs w:val="24"/>
              </w:rPr>
              <w:t>单位</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36E965">
            <w:pPr>
              <w:widowControl/>
              <w:jc w:val="center"/>
              <w:textAlignment w:val="center"/>
              <w:rPr>
                <w:rFonts w:hint="eastAsia" w:ascii="方正仿宋_GBK" w:hAnsi="方正仿宋_GBK" w:eastAsia="方正仿宋_GBK" w:cs="方正仿宋_GBK"/>
                <w:b/>
                <w:bCs/>
                <w:sz w:val="21"/>
                <w:szCs w:val="21"/>
              </w:rPr>
            </w:pPr>
            <w:r>
              <w:rPr>
                <w:rFonts w:hint="eastAsia" w:ascii="方正仿宋_GBK" w:hAnsi="方正仿宋_GBK" w:eastAsia="方正仿宋_GBK" w:cs="方正仿宋_GBK"/>
                <w:b/>
                <w:bCs/>
                <w:sz w:val="21"/>
                <w:szCs w:val="21"/>
                <w:lang w:val="en-US" w:bidi="zh-CN"/>
              </w:rPr>
              <w:t>单价</w:t>
            </w:r>
            <w:r>
              <w:rPr>
                <w:rFonts w:hint="eastAsia" w:ascii="方正仿宋_GBK" w:hAnsi="方正仿宋_GBK" w:eastAsia="方正仿宋_GBK" w:cs="方正仿宋_GBK"/>
                <w:b/>
                <w:bCs/>
                <w:sz w:val="21"/>
                <w:szCs w:val="21"/>
                <w:lang w:bidi="zh-CN"/>
              </w:rPr>
              <w:t>限价（元）</w:t>
            </w:r>
          </w:p>
        </w:tc>
      </w:tr>
      <w:tr w14:paraId="32A2B494">
        <w:tblPrEx>
          <w:tblCellMar>
            <w:top w:w="15" w:type="dxa"/>
            <w:left w:w="15" w:type="dxa"/>
            <w:bottom w:w="15" w:type="dxa"/>
            <w:right w:w="15" w:type="dxa"/>
          </w:tblCellMar>
        </w:tblPrEx>
        <w:trPr>
          <w:trHeight w:val="271" w:hRule="atLeast"/>
        </w:trPr>
        <w:tc>
          <w:tcPr>
            <w:tcW w:w="14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F88572">
            <w:pPr>
              <w:widowControl/>
              <w:jc w:val="center"/>
              <w:textAlignment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梅毒</w:t>
            </w:r>
          </w:p>
        </w:tc>
        <w:tc>
          <w:tcPr>
            <w:tcW w:w="41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CD7FE4">
            <w:pPr>
              <w:widowControl/>
              <w:jc w:val="center"/>
              <w:textAlignment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梅毒</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58DDF9">
            <w:pPr>
              <w:widowControl/>
              <w:jc w:val="center"/>
              <w:textAlignment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lang w:bidi="zh-CN"/>
              </w:rPr>
              <w:t>支</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02AF3C">
            <w:pPr>
              <w:widowControl/>
              <w:jc w:val="center"/>
              <w:textAlignment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lang w:bidi="zh-CN"/>
              </w:rPr>
              <w:t>50元/支</w:t>
            </w:r>
          </w:p>
        </w:tc>
      </w:tr>
      <w:tr w14:paraId="5D36BD9E">
        <w:tblPrEx>
          <w:tblCellMar>
            <w:top w:w="15" w:type="dxa"/>
            <w:left w:w="15" w:type="dxa"/>
            <w:bottom w:w="15" w:type="dxa"/>
            <w:right w:w="15" w:type="dxa"/>
          </w:tblCellMar>
        </w:tblPrEx>
        <w:trPr>
          <w:trHeight w:val="652" w:hRule="atLeast"/>
        </w:trPr>
        <w:tc>
          <w:tcPr>
            <w:tcW w:w="14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20182">
            <w:pPr>
              <w:widowControl/>
              <w:jc w:val="center"/>
              <w:textAlignment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乙肝五项</w:t>
            </w:r>
          </w:p>
        </w:tc>
        <w:tc>
          <w:tcPr>
            <w:tcW w:w="41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1D9380">
            <w:pPr>
              <w:widowControl/>
              <w:jc w:val="center"/>
              <w:textAlignment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HBsAg、HBsAb、HBeAg、HBeAb、HBcAb</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0E72DF">
            <w:pPr>
              <w:widowControl/>
              <w:jc w:val="center"/>
              <w:textAlignment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lang w:bidi="zh-CN"/>
              </w:rPr>
              <w:t>支</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59AAEA">
            <w:pPr>
              <w:widowControl/>
              <w:jc w:val="center"/>
              <w:textAlignment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lang w:bidi="zh-CN"/>
              </w:rPr>
              <w:t>复合质控品50元/支或单项质控品10元/支</w:t>
            </w:r>
          </w:p>
        </w:tc>
      </w:tr>
      <w:tr w14:paraId="5784ED76">
        <w:tblPrEx>
          <w:tblCellMar>
            <w:top w:w="15" w:type="dxa"/>
            <w:left w:w="15" w:type="dxa"/>
            <w:bottom w:w="15" w:type="dxa"/>
            <w:right w:w="15" w:type="dxa"/>
          </w:tblCellMar>
        </w:tblPrEx>
        <w:trPr>
          <w:trHeight w:val="1146" w:hRule="atLeast"/>
        </w:trPr>
        <w:tc>
          <w:tcPr>
            <w:tcW w:w="14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41054">
            <w:pPr>
              <w:widowControl/>
              <w:jc w:val="center"/>
              <w:textAlignment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生化室间质评品</w:t>
            </w:r>
          </w:p>
        </w:tc>
        <w:tc>
          <w:tcPr>
            <w:tcW w:w="41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07FA76">
            <w:pPr>
              <w:widowControl/>
              <w:jc w:val="center"/>
              <w:textAlignment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ALT、AST、ALP、LDH、CHE、GGT、CK、HBDH、TP、ALB、TBIL、DBIL、TBA、K、Na、CL、Ca、P、Mg、TG、TC、HDL-C、LDL-C、Urea、Cre、UA、GLU、AMY、LPS、</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E0663F">
            <w:pPr>
              <w:widowControl/>
              <w:jc w:val="center"/>
              <w:textAlignment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lang w:bidi="zh-CN"/>
              </w:rPr>
              <w:t>支</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522C38">
            <w:pPr>
              <w:widowControl/>
              <w:jc w:val="center"/>
              <w:textAlignment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lang w:bidi="zh-CN"/>
              </w:rPr>
              <w:t>45元/支</w:t>
            </w:r>
          </w:p>
        </w:tc>
      </w:tr>
      <w:tr w14:paraId="558F802B">
        <w:tblPrEx>
          <w:tblCellMar>
            <w:top w:w="15" w:type="dxa"/>
            <w:left w:w="15" w:type="dxa"/>
            <w:bottom w:w="15" w:type="dxa"/>
            <w:right w:w="15" w:type="dxa"/>
          </w:tblCellMar>
        </w:tblPrEx>
        <w:trPr>
          <w:trHeight w:val="833" w:hRule="atLeast"/>
        </w:trPr>
        <w:tc>
          <w:tcPr>
            <w:tcW w:w="14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45079E">
            <w:pPr>
              <w:widowControl/>
              <w:jc w:val="center"/>
              <w:textAlignment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血细胞分析仪用质控品</w:t>
            </w:r>
          </w:p>
        </w:tc>
        <w:tc>
          <w:tcPr>
            <w:tcW w:w="41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0E213B">
            <w:pPr>
              <w:spacing w:line="400" w:lineRule="exact"/>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WBC、RBC、HGB、HCT、MCV、MCH、MCHC、PLT</w:t>
            </w:r>
          </w:p>
          <w:p w14:paraId="334E7AD0">
            <w:pPr>
              <w:widowControl/>
              <w:jc w:val="center"/>
              <w:textAlignment w:val="center"/>
              <w:rPr>
                <w:rFonts w:hint="eastAsia" w:ascii="方正仿宋_GBK" w:hAnsi="方正仿宋_GBK" w:eastAsia="方正仿宋_GBK" w:cs="方正仿宋_GBK"/>
                <w:sz w:val="21"/>
                <w:szCs w:val="21"/>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95DED8">
            <w:pPr>
              <w:widowControl/>
              <w:jc w:val="center"/>
              <w:textAlignment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lang w:bidi="zh-CN"/>
              </w:rPr>
              <w:t>支</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AD3720">
            <w:pPr>
              <w:widowControl/>
              <w:jc w:val="center"/>
              <w:textAlignment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lang w:bidi="zh-CN"/>
              </w:rPr>
              <w:t>35元/支</w:t>
            </w:r>
          </w:p>
        </w:tc>
      </w:tr>
    </w:tbl>
    <w:p w14:paraId="6F9A627C">
      <w:pPr>
        <w:spacing w:line="400" w:lineRule="exact"/>
        <w:jc w:val="left"/>
        <w:rPr>
          <w:rFonts w:hint="default" w:ascii="Times New Roman" w:hAnsi="Times New Roman" w:eastAsia="仿宋" w:cs="Times New Roman"/>
          <w:b/>
          <w:bCs/>
          <w:i w:val="0"/>
          <w:iCs w:val="0"/>
          <w:color w:val="auto"/>
          <w:kern w:val="0"/>
          <w:sz w:val="24"/>
          <w:szCs w:val="20"/>
          <w:highlight w:val="none"/>
          <w:u w:val="none"/>
          <w:shd w:val="clear" w:color="auto" w:fill="auto"/>
          <w:lang w:val="en-US" w:eastAsia="zh-CN"/>
        </w:rPr>
      </w:pPr>
      <w:r>
        <w:rPr>
          <w:rFonts w:hint="eastAsia" w:eastAsia="仿宋" w:cs="Times New Roman"/>
          <w:b/>
          <w:bCs/>
          <w:i w:val="0"/>
          <w:iCs w:val="0"/>
          <w:color w:val="auto"/>
          <w:kern w:val="0"/>
          <w:sz w:val="24"/>
          <w:szCs w:val="20"/>
          <w:highlight w:val="none"/>
          <w:u w:val="none"/>
          <w:shd w:val="clear" w:color="auto" w:fill="auto"/>
          <w:lang w:val="en-US" w:eastAsia="zh-CN"/>
        </w:rPr>
        <w:t>二、技术参数</w:t>
      </w:r>
    </w:p>
    <w:p w14:paraId="43B0426D">
      <w:pPr>
        <w:spacing w:line="400" w:lineRule="exact"/>
        <w:jc w:val="left"/>
        <w:rPr>
          <w:rFonts w:hint="eastAsia" w:ascii="Times New Roman" w:hAnsi="Times New Roman" w:eastAsia="仿宋" w:cs="Times New Roman"/>
          <w:b/>
          <w:bCs/>
          <w:i w:val="0"/>
          <w:iCs w:val="0"/>
          <w:color w:val="auto"/>
          <w:kern w:val="0"/>
          <w:sz w:val="24"/>
          <w:szCs w:val="20"/>
          <w:highlight w:val="none"/>
          <w:u w:val="none"/>
          <w:shd w:val="clear" w:color="auto" w:fill="auto"/>
          <w:lang w:val="en-US" w:eastAsia="zh-CN"/>
        </w:rPr>
      </w:pPr>
      <w:bookmarkStart w:id="3" w:name="OLE_LINK32"/>
      <w:bookmarkStart w:id="4" w:name="OLE_LINK33"/>
      <w:r>
        <w:rPr>
          <w:rFonts w:hint="eastAsia" w:eastAsia="仿宋" w:cs="Times New Roman"/>
          <w:b/>
          <w:bCs/>
          <w:i w:val="0"/>
          <w:iCs w:val="0"/>
          <w:color w:val="auto"/>
          <w:kern w:val="0"/>
          <w:sz w:val="24"/>
          <w:szCs w:val="20"/>
          <w:highlight w:val="none"/>
          <w:u w:val="none"/>
          <w:shd w:val="clear" w:color="auto" w:fill="auto"/>
          <w:lang w:val="en-US" w:eastAsia="zh-CN"/>
        </w:rPr>
        <w:t>（1）</w:t>
      </w:r>
      <w:r>
        <w:rPr>
          <w:rFonts w:hint="eastAsia" w:ascii="Times New Roman" w:hAnsi="Times New Roman" w:eastAsia="仿宋" w:cs="Times New Roman"/>
          <w:b/>
          <w:bCs/>
          <w:i w:val="0"/>
          <w:iCs w:val="0"/>
          <w:color w:val="auto"/>
          <w:kern w:val="0"/>
          <w:sz w:val="24"/>
          <w:szCs w:val="20"/>
          <w:highlight w:val="none"/>
          <w:u w:val="none"/>
          <w:shd w:val="clear" w:color="auto" w:fill="auto"/>
          <w:lang w:val="en-US" w:eastAsia="zh-CN"/>
        </w:rPr>
        <w:t>梅毒</w:t>
      </w:r>
      <w:bookmarkEnd w:id="3"/>
      <w:bookmarkEnd w:id="4"/>
      <w:r>
        <w:rPr>
          <w:rFonts w:hint="eastAsia" w:ascii="Times New Roman" w:hAnsi="Times New Roman" w:eastAsia="仿宋" w:cs="Times New Roman"/>
          <w:b/>
          <w:bCs/>
          <w:i w:val="0"/>
          <w:iCs w:val="0"/>
          <w:color w:val="auto"/>
          <w:kern w:val="0"/>
          <w:sz w:val="24"/>
          <w:szCs w:val="20"/>
          <w:highlight w:val="none"/>
          <w:u w:val="none"/>
          <w:shd w:val="clear" w:color="auto" w:fill="auto"/>
          <w:lang w:val="en-US" w:eastAsia="zh-CN"/>
        </w:rPr>
        <w:t>室间质评品技术参数</w:t>
      </w:r>
    </w:p>
    <w:p w14:paraId="4B752804">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1、★检测项目包含：梅毒螺旋体抗体（抗-TP）。</w:t>
      </w:r>
    </w:p>
    <w:p w14:paraId="5AC85820">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2、★状态规格：</w:t>
      </w:r>
      <w:bookmarkStart w:id="5" w:name="OLE_LINK34"/>
      <w:bookmarkStart w:id="6" w:name="OLE_LINK35"/>
      <w:r>
        <w:rPr>
          <w:rFonts w:hint="eastAsia" w:ascii="仿宋" w:hAnsi="仿宋" w:eastAsia="仿宋" w:cs="仿宋"/>
          <w:color w:val="000000"/>
          <w:sz w:val="22"/>
          <w:szCs w:val="22"/>
          <w:lang w:val="en-US" w:eastAsia="zh-CN"/>
        </w:rPr>
        <w:t>液体，</w:t>
      </w:r>
      <w:bookmarkStart w:id="7" w:name="OLE_LINK10"/>
      <w:bookmarkStart w:id="8" w:name="OLE_LINK11"/>
      <w:r>
        <w:rPr>
          <w:rFonts w:hint="eastAsia" w:ascii="仿宋" w:hAnsi="仿宋" w:eastAsia="仿宋" w:cs="仿宋"/>
          <w:color w:val="000000"/>
          <w:sz w:val="22"/>
          <w:szCs w:val="22"/>
          <w:lang w:val="en-US" w:eastAsia="zh-CN"/>
        </w:rPr>
        <w:t>≥</w:t>
      </w:r>
      <w:bookmarkEnd w:id="7"/>
      <w:bookmarkEnd w:id="8"/>
      <w:r>
        <w:rPr>
          <w:rFonts w:hint="eastAsia" w:ascii="仿宋" w:hAnsi="仿宋" w:eastAsia="仿宋" w:cs="仿宋"/>
          <w:color w:val="000000"/>
          <w:sz w:val="22"/>
          <w:szCs w:val="22"/>
          <w:lang w:val="en-US" w:eastAsia="zh-CN"/>
        </w:rPr>
        <w:t>0.5mL/支</w:t>
      </w:r>
      <w:bookmarkEnd w:id="5"/>
      <w:bookmarkEnd w:id="6"/>
      <w:r>
        <w:rPr>
          <w:rFonts w:hint="eastAsia" w:ascii="仿宋" w:hAnsi="仿宋" w:eastAsia="仿宋" w:cs="仿宋"/>
          <w:color w:val="000000"/>
          <w:sz w:val="22"/>
          <w:szCs w:val="22"/>
          <w:lang w:val="en-US" w:eastAsia="zh-CN"/>
        </w:rPr>
        <w:t>。</w:t>
      </w:r>
    </w:p>
    <w:p w14:paraId="1EA0A062">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3、★具有相关产品医疗器械注册证。</w:t>
      </w:r>
    </w:p>
    <w:p w14:paraId="209BCADC">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4、▲效期及稳定性：-20℃条件下储存，有效期≥12个月。</w:t>
      </w:r>
    </w:p>
    <w:p w14:paraId="3E2E21A6">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5、▲供应商所响应产品需提供不低于5个水平浓度组合,</w:t>
      </w:r>
      <w:bookmarkStart w:id="9" w:name="OLE_LINK1"/>
      <w:bookmarkStart w:id="10" w:name="OLE_LINK2"/>
      <w:r>
        <w:rPr>
          <w:rFonts w:hint="eastAsia" w:ascii="仿宋" w:hAnsi="仿宋" w:eastAsia="仿宋" w:cs="仿宋"/>
          <w:color w:val="000000"/>
          <w:sz w:val="22"/>
          <w:szCs w:val="22"/>
          <w:lang w:val="en-US" w:eastAsia="zh-CN"/>
        </w:rPr>
        <w:t>包括阴性及阳性不同水平</w:t>
      </w:r>
      <w:bookmarkEnd w:id="9"/>
      <w:bookmarkEnd w:id="10"/>
      <w:r>
        <w:rPr>
          <w:rFonts w:hint="eastAsia" w:ascii="仿宋" w:hAnsi="仿宋" w:eastAsia="仿宋" w:cs="仿宋"/>
          <w:color w:val="000000"/>
          <w:sz w:val="22"/>
          <w:szCs w:val="22"/>
          <w:lang w:val="en-US" w:eastAsia="zh-CN"/>
        </w:rPr>
        <w:t>，应附有产品的使用说明书。</w:t>
      </w:r>
    </w:p>
    <w:p w14:paraId="02C35710">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6、可提供质控数据统计分析平台。</w:t>
      </w:r>
    </w:p>
    <w:p w14:paraId="450C647E">
      <w:pPr>
        <w:spacing w:line="400" w:lineRule="exact"/>
        <w:jc w:val="left"/>
        <w:rPr>
          <w:rFonts w:hint="eastAsia" w:ascii="Times New Roman" w:hAnsi="Times New Roman" w:eastAsia="仿宋" w:cs="Times New Roman"/>
          <w:b/>
          <w:bCs/>
          <w:i w:val="0"/>
          <w:iCs w:val="0"/>
          <w:color w:val="auto"/>
          <w:kern w:val="0"/>
          <w:sz w:val="24"/>
          <w:szCs w:val="20"/>
          <w:highlight w:val="none"/>
          <w:u w:val="none"/>
          <w:shd w:val="clear" w:color="auto" w:fill="auto"/>
          <w:lang w:val="en-US" w:eastAsia="zh-CN"/>
        </w:rPr>
      </w:pPr>
      <w:bookmarkStart w:id="11" w:name="OLE_LINK38"/>
      <w:bookmarkStart w:id="12" w:name="OLE_LINK39"/>
      <w:r>
        <w:rPr>
          <w:rFonts w:hint="eastAsia" w:eastAsia="仿宋" w:cs="Times New Roman"/>
          <w:b/>
          <w:bCs/>
          <w:i w:val="0"/>
          <w:iCs w:val="0"/>
          <w:color w:val="auto"/>
          <w:kern w:val="0"/>
          <w:sz w:val="24"/>
          <w:szCs w:val="20"/>
          <w:highlight w:val="none"/>
          <w:u w:val="none"/>
          <w:shd w:val="clear" w:color="auto" w:fill="auto"/>
          <w:lang w:val="en-US" w:eastAsia="zh-CN"/>
        </w:rPr>
        <w:t>（二）</w:t>
      </w:r>
      <w:r>
        <w:rPr>
          <w:rFonts w:hint="eastAsia" w:ascii="Times New Roman" w:hAnsi="Times New Roman" w:eastAsia="仿宋" w:cs="Times New Roman"/>
          <w:b/>
          <w:bCs/>
          <w:i w:val="0"/>
          <w:iCs w:val="0"/>
          <w:color w:val="auto"/>
          <w:kern w:val="0"/>
          <w:sz w:val="24"/>
          <w:szCs w:val="20"/>
          <w:highlight w:val="none"/>
          <w:u w:val="none"/>
          <w:shd w:val="clear" w:color="auto" w:fill="auto"/>
          <w:lang w:val="en-US" w:eastAsia="zh-CN"/>
        </w:rPr>
        <w:t>乙肝五项</w:t>
      </w:r>
      <w:bookmarkEnd w:id="11"/>
      <w:bookmarkEnd w:id="12"/>
      <w:r>
        <w:rPr>
          <w:rFonts w:hint="eastAsia" w:ascii="Times New Roman" w:hAnsi="Times New Roman" w:eastAsia="仿宋" w:cs="Times New Roman"/>
          <w:b/>
          <w:bCs/>
          <w:i w:val="0"/>
          <w:iCs w:val="0"/>
          <w:color w:val="auto"/>
          <w:kern w:val="0"/>
          <w:sz w:val="24"/>
          <w:szCs w:val="20"/>
          <w:highlight w:val="none"/>
          <w:u w:val="none"/>
          <w:shd w:val="clear" w:color="auto" w:fill="auto"/>
          <w:lang w:val="en-US" w:eastAsia="zh-CN"/>
        </w:rPr>
        <w:t>室间质评品技术参数</w:t>
      </w:r>
    </w:p>
    <w:p w14:paraId="785BE290">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w:t>
      </w:r>
      <w:bookmarkStart w:id="13" w:name="OLE_LINK18"/>
      <w:bookmarkStart w:id="14" w:name="OLE_LINK19"/>
      <w:r>
        <w:rPr>
          <w:rFonts w:hint="eastAsia" w:ascii="仿宋" w:hAnsi="仿宋" w:eastAsia="仿宋" w:cs="仿宋"/>
          <w:color w:val="000000"/>
          <w:sz w:val="22"/>
          <w:szCs w:val="22"/>
          <w:lang w:val="en-US" w:eastAsia="zh-CN"/>
        </w:rPr>
        <w:t>★</w:t>
      </w:r>
      <w:bookmarkEnd w:id="13"/>
      <w:bookmarkEnd w:id="14"/>
      <w:r>
        <w:rPr>
          <w:rFonts w:hint="eastAsia" w:ascii="仿宋" w:hAnsi="仿宋" w:eastAsia="仿宋" w:cs="仿宋"/>
          <w:color w:val="000000"/>
          <w:sz w:val="22"/>
          <w:szCs w:val="22"/>
          <w:lang w:val="en-US" w:eastAsia="zh-CN"/>
        </w:rPr>
        <w:t>检测项目包含：</w:t>
      </w:r>
      <w:bookmarkStart w:id="15" w:name="OLE_LINK41"/>
      <w:bookmarkStart w:id="16" w:name="OLE_LINK40"/>
      <w:r>
        <w:rPr>
          <w:rFonts w:hint="eastAsia" w:ascii="仿宋" w:hAnsi="仿宋" w:eastAsia="仿宋" w:cs="仿宋"/>
          <w:color w:val="000000"/>
          <w:sz w:val="22"/>
          <w:szCs w:val="22"/>
          <w:lang w:val="en-US" w:eastAsia="zh-CN"/>
        </w:rPr>
        <w:t>乙型肝炎病毒表面抗原（HBsAg）、乙型肝炎病毒表面抗体（HBsAb）、乙型肝炎病毒e抗原（HBeAg）、乙型肝炎病毒e抗体（HBeAb）、乙型肝炎病毒核心抗体（HBcAb）</w:t>
      </w:r>
      <w:bookmarkEnd w:id="15"/>
      <w:bookmarkEnd w:id="16"/>
      <w:r>
        <w:rPr>
          <w:rFonts w:hint="eastAsia" w:ascii="仿宋" w:hAnsi="仿宋" w:eastAsia="仿宋" w:cs="仿宋"/>
          <w:color w:val="000000"/>
          <w:sz w:val="22"/>
          <w:szCs w:val="22"/>
          <w:lang w:val="en-US" w:eastAsia="zh-CN"/>
        </w:rPr>
        <w:t>，可提供阴性及阳性不同水平</w:t>
      </w:r>
    </w:p>
    <w:p w14:paraId="09653F0C">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2、★状态规格：液体，</w:t>
      </w:r>
      <w:bookmarkStart w:id="17" w:name="OLE_LINK20"/>
      <w:bookmarkStart w:id="18" w:name="OLE_LINK22"/>
      <w:bookmarkStart w:id="19" w:name="OLE_LINK21"/>
      <w:r>
        <w:rPr>
          <w:rFonts w:hint="eastAsia" w:ascii="仿宋" w:hAnsi="仿宋" w:eastAsia="仿宋" w:cs="仿宋"/>
          <w:color w:val="000000"/>
          <w:sz w:val="22"/>
          <w:szCs w:val="22"/>
          <w:lang w:val="en-US" w:eastAsia="zh-CN"/>
        </w:rPr>
        <w:t>复合质控品</w:t>
      </w:r>
      <w:bookmarkStart w:id="20" w:name="OLE_LINK5"/>
      <w:bookmarkStart w:id="21" w:name="OLE_LINK4"/>
      <w:bookmarkStart w:id="22" w:name="OLE_LINK3"/>
      <w:r>
        <w:rPr>
          <w:rFonts w:hint="eastAsia" w:ascii="仿宋" w:hAnsi="仿宋" w:eastAsia="仿宋" w:cs="仿宋"/>
          <w:color w:val="000000"/>
          <w:sz w:val="22"/>
          <w:szCs w:val="22"/>
          <w:lang w:val="en-US" w:eastAsia="zh-CN"/>
        </w:rPr>
        <w:t>≥</w:t>
      </w:r>
      <w:bookmarkEnd w:id="17"/>
      <w:bookmarkEnd w:id="20"/>
      <w:r>
        <w:rPr>
          <w:rFonts w:hint="eastAsia" w:ascii="仿宋" w:hAnsi="仿宋" w:eastAsia="仿宋" w:cs="仿宋"/>
          <w:color w:val="000000"/>
          <w:sz w:val="22"/>
          <w:szCs w:val="22"/>
          <w:lang w:val="en-US" w:eastAsia="zh-CN"/>
        </w:rPr>
        <w:t>1.0mL/支</w:t>
      </w:r>
      <w:bookmarkEnd w:id="21"/>
      <w:bookmarkEnd w:id="22"/>
      <w:r>
        <w:rPr>
          <w:rFonts w:hint="eastAsia" w:ascii="仿宋" w:hAnsi="仿宋" w:eastAsia="仿宋" w:cs="仿宋"/>
          <w:color w:val="000000"/>
          <w:sz w:val="22"/>
          <w:szCs w:val="22"/>
          <w:lang w:val="en-US" w:eastAsia="zh-CN"/>
        </w:rPr>
        <w:t>或者单项质控品≥0.5mL/支</w:t>
      </w:r>
      <w:bookmarkEnd w:id="18"/>
      <w:bookmarkEnd w:id="19"/>
      <w:r>
        <w:rPr>
          <w:rFonts w:hint="eastAsia" w:ascii="仿宋" w:hAnsi="仿宋" w:eastAsia="仿宋" w:cs="仿宋"/>
          <w:color w:val="000000"/>
          <w:sz w:val="22"/>
          <w:szCs w:val="22"/>
          <w:lang w:val="en-US" w:eastAsia="zh-CN"/>
        </w:rPr>
        <w:t>。</w:t>
      </w:r>
    </w:p>
    <w:p w14:paraId="326589B8">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3、★具有相关产品医疗器械注册证。</w:t>
      </w:r>
    </w:p>
    <w:p w14:paraId="1AC5F68A">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4、▲效期及稳定性：-20℃条件下储存，有效期≥12个月。</w:t>
      </w:r>
    </w:p>
    <w:p w14:paraId="357151E4">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5、▲供应商所响应产品需提供不低于5个水平浓度组合，包括阴性及阳性不同水平，应附有产品的使用说明书。</w:t>
      </w:r>
    </w:p>
    <w:p w14:paraId="6F109223">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6、可提供质控数据统计分析平台。</w:t>
      </w:r>
    </w:p>
    <w:p w14:paraId="12D7AAD7">
      <w:pPr>
        <w:spacing w:line="400" w:lineRule="exact"/>
        <w:jc w:val="left"/>
        <w:rPr>
          <w:rFonts w:hint="eastAsia" w:ascii="Times New Roman" w:hAnsi="Times New Roman" w:eastAsia="仿宋" w:cs="Times New Roman"/>
          <w:b/>
          <w:bCs/>
          <w:i w:val="0"/>
          <w:iCs w:val="0"/>
          <w:color w:val="auto"/>
          <w:kern w:val="0"/>
          <w:sz w:val="24"/>
          <w:szCs w:val="20"/>
          <w:highlight w:val="none"/>
          <w:u w:val="none"/>
          <w:shd w:val="clear" w:color="auto" w:fill="auto"/>
          <w:lang w:val="en-US" w:eastAsia="zh-CN"/>
        </w:rPr>
      </w:pPr>
      <w:bookmarkStart w:id="23" w:name="OLE_LINK42"/>
      <w:bookmarkStart w:id="24" w:name="OLE_LINK43"/>
      <w:r>
        <w:rPr>
          <w:rFonts w:hint="eastAsia" w:eastAsia="仿宋" w:cs="Times New Roman"/>
          <w:b/>
          <w:bCs/>
          <w:i w:val="0"/>
          <w:iCs w:val="0"/>
          <w:color w:val="auto"/>
          <w:kern w:val="0"/>
          <w:sz w:val="24"/>
          <w:szCs w:val="20"/>
          <w:highlight w:val="none"/>
          <w:u w:val="none"/>
          <w:shd w:val="clear" w:color="auto" w:fill="auto"/>
          <w:lang w:val="en-US" w:eastAsia="zh-CN"/>
        </w:rPr>
        <w:t>（三）</w:t>
      </w:r>
      <w:r>
        <w:rPr>
          <w:rFonts w:hint="eastAsia" w:ascii="Times New Roman" w:hAnsi="Times New Roman" w:eastAsia="仿宋" w:cs="Times New Roman"/>
          <w:b/>
          <w:bCs/>
          <w:i w:val="0"/>
          <w:iCs w:val="0"/>
          <w:color w:val="auto"/>
          <w:kern w:val="0"/>
          <w:sz w:val="24"/>
          <w:szCs w:val="20"/>
          <w:highlight w:val="none"/>
          <w:u w:val="none"/>
          <w:shd w:val="clear" w:color="auto" w:fill="auto"/>
          <w:lang w:val="en-US" w:eastAsia="zh-CN"/>
        </w:rPr>
        <w:t>生化室间质评品</w:t>
      </w:r>
      <w:bookmarkEnd w:id="23"/>
      <w:bookmarkEnd w:id="24"/>
      <w:r>
        <w:rPr>
          <w:rFonts w:hint="eastAsia" w:ascii="Times New Roman" w:hAnsi="Times New Roman" w:eastAsia="仿宋" w:cs="Times New Roman"/>
          <w:b/>
          <w:bCs/>
          <w:i w:val="0"/>
          <w:iCs w:val="0"/>
          <w:color w:val="auto"/>
          <w:kern w:val="0"/>
          <w:sz w:val="24"/>
          <w:szCs w:val="20"/>
          <w:highlight w:val="none"/>
          <w:u w:val="none"/>
          <w:shd w:val="clear" w:color="auto" w:fill="auto"/>
          <w:lang w:val="en-US" w:eastAsia="zh-CN"/>
        </w:rPr>
        <w:t>技术参数</w:t>
      </w:r>
    </w:p>
    <w:p w14:paraId="570AD0ED">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1、★检测项目至少包含：</w:t>
      </w:r>
      <w:bookmarkStart w:id="25" w:name="OLE_LINK47"/>
      <w:bookmarkStart w:id="26" w:name="OLE_LINK46"/>
      <w:r>
        <w:rPr>
          <w:rFonts w:hint="eastAsia" w:ascii="仿宋" w:hAnsi="仿宋" w:eastAsia="仿宋" w:cs="仿宋"/>
          <w:color w:val="000000"/>
          <w:sz w:val="22"/>
          <w:szCs w:val="22"/>
          <w:lang w:val="en-US" w:eastAsia="zh-CN"/>
        </w:rPr>
        <w:t>丙氨酸氨基转移酶(ALT)、天门冬氨酸氨基转移酶(AST)、碱性磷酸酶（ALP)、乳酸脱氢酶(LDH)、胆碱酯酶(CHE)、γ-谷氨酰基转移酶(GGT)、肌酸激酶(CK)、α-羟丁酸脱氢酶（HBDH）、总蛋白(TP)、白蛋白(ALB）、总胆红素(TBIL)、直接胆红素(DBIL)、胆汁酸(TBA)、钾(K)、钠(Na)、氯（CL)、钙(Ca)、磷(P)、镁(Mg)、甘油三酯（TG）、总胆固醇(TC)、高密度脂蛋白胆固醇(HDL-C)、低密度脂蛋白胆固醇(LDL-C)、尿素(Urea)、肌酐(Cre)、尿酸(UA)、葡萄糖(GLU)、淀粉酶（AMY)、脂肪酶(LPS)、</w:t>
      </w:r>
      <w:bookmarkEnd w:id="25"/>
      <w:bookmarkEnd w:id="26"/>
    </w:p>
    <w:p w14:paraId="65A534F2">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2、★状态规格：</w:t>
      </w:r>
      <w:bookmarkStart w:id="27" w:name="OLE_LINK9"/>
      <w:bookmarkStart w:id="28" w:name="OLE_LINK8"/>
      <w:bookmarkStart w:id="29" w:name="OLE_LINK44"/>
      <w:bookmarkStart w:id="30" w:name="OLE_LINK45"/>
      <w:r>
        <w:rPr>
          <w:rFonts w:hint="eastAsia" w:ascii="仿宋" w:hAnsi="仿宋" w:eastAsia="仿宋" w:cs="仿宋"/>
          <w:color w:val="000000"/>
          <w:sz w:val="22"/>
          <w:szCs w:val="22"/>
          <w:lang w:val="en-US" w:eastAsia="zh-CN"/>
        </w:rPr>
        <w:t>冻干品或液体</w:t>
      </w:r>
      <w:bookmarkEnd w:id="27"/>
      <w:bookmarkEnd w:id="28"/>
      <w:r>
        <w:rPr>
          <w:rFonts w:hint="eastAsia" w:ascii="仿宋" w:hAnsi="仿宋" w:eastAsia="仿宋" w:cs="仿宋"/>
          <w:color w:val="000000"/>
          <w:sz w:val="22"/>
          <w:szCs w:val="22"/>
          <w:lang w:val="en-US" w:eastAsia="zh-CN"/>
        </w:rPr>
        <w:t>，≥3mL/支</w:t>
      </w:r>
      <w:bookmarkEnd w:id="29"/>
      <w:bookmarkEnd w:id="30"/>
      <w:r>
        <w:rPr>
          <w:rFonts w:hint="eastAsia" w:ascii="仿宋" w:hAnsi="仿宋" w:eastAsia="仿宋" w:cs="仿宋"/>
          <w:color w:val="000000"/>
          <w:sz w:val="22"/>
          <w:szCs w:val="22"/>
          <w:lang w:val="en-US" w:eastAsia="zh-CN"/>
        </w:rPr>
        <w:t>。</w:t>
      </w:r>
    </w:p>
    <w:p w14:paraId="1A69C7F4">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3、★具有相关产品医疗器械注册证。</w:t>
      </w:r>
    </w:p>
    <w:p w14:paraId="35E3EE62">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4、▲效期及稳定性：2℃～8℃条件下储存，有效期≥12个月。 </w:t>
      </w:r>
    </w:p>
    <w:p w14:paraId="75B87A72">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5、▲供应商所响应产品需提供不低于10个水平浓度组合，应附有产品的使用说明书。</w:t>
      </w:r>
    </w:p>
    <w:p w14:paraId="1EE14894">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6、可提供质控数据统计分析平台；</w:t>
      </w:r>
    </w:p>
    <w:p w14:paraId="52F0CF91">
      <w:pPr>
        <w:spacing w:line="400" w:lineRule="exact"/>
        <w:jc w:val="left"/>
        <w:rPr>
          <w:rFonts w:hint="eastAsia" w:ascii="Times New Roman" w:hAnsi="Times New Roman" w:eastAsia="仿宋" w:cs="Times New Roman"/>
          <w:b/>
          <w:bCs/>
          <w:i w:val="0"/>
          <w:iCs w:val="0"/>
          <w:color w:val="auto"/>
          <w:kern w:val="0"/>
          <w:sz w:val="24"/>
          <w:szCs w:val="20"/>
          <w:highlight w:val="none"/>
          <w:u w:val="none"/>
          <w:shd w:val="clear" w:color="auto" w:fill="auto"/>
          <w:lang w:val="en-US" w:eastAsia="zh-CN"/>
        </w:rPr>
      </w:pPr>
      <w:bookmarkStart w:id="31" w:name="OLE_LINK51"/>
      <w:bookmarkStart w:id="32" w:name="OLE_LINK52"/>
      <w:r>
        <w:rPr>
          <w:rFonts w:hint="eastAsia" w:eastAsia="仿宋" w:cs="Times New Roman"/>
          <w:b/>
          <w:bCs/>
          <w:i w:val="0"/>
          <w:iCs w:val="0"/>
          <w:color w:val="auto"/>
          <w:kern w:val="0"/>
          <w:sz w:val="24"/>
          <w:szCs w:val="20"/>
          <w:highlight w:val="none"/>
          <w:u w:val="none"/>
          <w:shd w:val="clear" w:color="auto" w:fill="auto"/>
          <w:lang w:val="en-US" w:eastAsia="zh-CN"/>
        </w:rPr>
        <w:t>（四）</w:t>
      </w:r>
      <w:r>
        <w:rPr>
          <w:rFonts w:hint="eastAsia" w:ascii="Times New Roman" w:hAnsi="Times New Roman" w:eastAsia="仿宋" w:cs="Times New Roman"/>
          <w:b/>
          <w:bCs/>
          <w:i w:val="0"/>
          <w:iCs w:val="0"/>
          <w:color w:val="auto"/>
          <w:kern w:val="0"/>
          <w:sz w:val="24"/>
          <w:szCs w:val="20"/>
          <w:highlight w:val="none"/>
          <w:u w:val="none"/>
          <w:shd w:val="clear" w:color="auto" w:fill="auto"/>
          <w:lang w:val="en-US" w:eastAsia="zh-CN"/>
        </w:rPr>
        <w:t>血细胞分析仪用</w:t>
      </w:r>
      <w:bookmarkEnd w:id="31"/>
      <w:bookmarkEnd w:id="32"/>
      <w:r>
        <w:rPr>
          <w:rFonts w:hint="eastAsia" w:ascii="Times New Roman" w:hAnsi="Times New Roman" w:eastAsia="仿宋" w:cs="Times New Roman"/>
          <w:b/>
          <w:bCs/>
          <w:i w:val="0"/>
          <w:iCs w:val="0"/>
          <w:color w:val="auto"/>
          <w:kern w:val="0"/>
          <w:sz w:val="24"/>
          <w:szCs w:val="20"/>
          <w:highlight w:val="none"/>
          <w:u w:val="none"/>
          <w:shd w:val="clear" w:color="auto" w:fill="auto"/>
          <w:lang w:val="en-US" w:eastAsia="zh-CN"/>
        </w:rPr>
        <w:t>室间质评品技术参数</w:t>
      </w:r>
    </w:p>
    <w:p w14:paraId="77EFB5C2">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1、★检测项目包含：</w:t>
      </w:r>
      <w:bookmarkStart w:id="33" w:name="OLE_LINK55"/>
      <w:bookmarkStart w:id="34" w:name="OLE_LINK56"/>
      <w:r>
        <w:rPr>
          <w:rFonts w:hint="eastAsia" w:ascii="仿宋" w:hAnsi="仿宋" w:eastAsia="仿宋" w:cs="仿宋"/>
          <w:color w:val="000000"/>
          <w:sz w:val="22"/>
          <w:szCs w:val="22"/>
          <w:lang w:val="en-US" w:eastAsia="zh-CN"/>
        </w:rPr>
        <w:t>白细胞计数（WBC）、红细胞计数（RBC）、血红蛋白（HGB）、红细胞压积（HCT）、平均红细胞体积（MCV）、平均红细胞血红蛋白含量（MCH）、平均红细胞血红蛋白浓度（MCHC）、血小板计数（PLT）</w:t>
      </w:r>
    </w:p>
    <w:bookmarkEnd w:id="33"/>
    <w:bookmarkEnd w:id="34"/>
    <w:p w14:paraId="209FEFD6">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2、★状态规格：</w:t>
      </w:r>
      <w:bookmarkStart w:id="35" w:name="OLE_LINK54"/>
      <w:bookmarkStart w:id="36" w:name="OLE_LINK53"/>
      <w:r>
        <w:rPr>
          <w:rFonts w:hint="eastAsia" w:ascii="仿宋" w:hAnsi="仿宋" w:eastAsia="仿宋" w:cs="仿宋"/>
          <w:color w:val="000000"/>
          <w:sz w:val="22"/>
          <w:szCs w:val="22"/>
          <w:lang w:val="en-US" w:eastAsia="zh-CN"/>
        </w:rPr>
        <w:t>液态，≥1.5mL/支</w:t>
      </w:r>
      <w:bookmarkEnd w:id="35"/>
      <w:bookmarkEnd w:id="36"/>
      <w:r>
        <w:rPr>
          <w:rFonts w:hint="eastAsia" w:ascii="仿宋" w:hAnsi="仿宋" w:eastAsia="仿宋" w:cs="仿宋"/>
          <w:color w:val="000000"/>
          <w:sz w:val="22"/>
          <w:szCs w:val="22"/>
          <w:lang w:val="en-US" w:eastAsia="zh-CN"/>
        </w:rPr>
        <w:t>。</w:t>
      </w:r>
    </w:p>
    <w:p w14:paraId="4BF0A608">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3、★具有相关产品医疗器械注册证。</w:t>
      </w:r>
    </w:p>
    <w:p w14:paraId="0D2A7718">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4、▲效期及稳定性：2℃～8℃条件下储存，有效期≥2个月。 </w:t>
      </w:r>
    </w:p>
    <w:p w14:paraId="36A5AC3C">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5、▲供应商所响应产品需提供</w:t>
      </w:r>
      <w:bookmarkStart w:id="37" w:name="OLE_LINK29"/>
      <w:bookmarkStart w:id="38" w:name="OLE_LINK59"/>
      <w:r>
        <w:rPr>
          <w:rFonts w:hint="eastAsia" w:ascii="仿宋" w:hAnsi="仿宋" w:eastAsia="仿宋" w:cs="仿宋"/>
          <w:color w:val="000000"/>
          <w:sz w:val="22"/>
          <w:szCs w:val="22"/>
          <w:lang w:val="en-US" w:eastAsia="zh-CN"/>
        </w:rPr>
        <w:t>不低于高中低三个水平不同浓度组合</w:t>
      </w:r>
      <w:bookmarkEnd w:id="37"/>
      <w:bookmarkEnd w:id="38"/>
      <w:r>
        <w:rPr>
          <w:rFonts w:hint="eastAsia" w:ascii="仿宋" w:hAnsi="仿宋" w:eastAsia="仿宋" w:cs="仿宋"/>
          <w:color w:val="000000"/>
          <w:sz w:val="22"/>
          <w:szCs w:val="22"/>
          <w:lang w:val="en-US" w:eastAsia="zh-CN"/>
        </w:rPr>
        <w:t>，应附有产品的使用说明书。</w:t>
      </w:r>
    </w:p>
    <w:p w14:paraId="7D8E8A57">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6、可提供质控数据统计分析平台。</w:t>
      </w:r>
    </w:p>
    <w:p w14:paraId="3B5E09DC">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09E5F14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一、商务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70CDD401">
      <w:pPr>
        <w:spacing w:line="240" w:lineRule="exact"/>
        <w:ind w:firstLine="420"/>
        <w:rPr>
          <w:rFonts w:hint="eastAsia" w:ascii="仿宋" w:hAnsi="仿宋" w:eastAsia="仿宋" w:cs="仿宋"/>
          <w:b/>
          <w:bCs/>
          <w:color w:val="000000"/>
          <w:sz w:val="22"/>
          <w:szCs w:val="22"/>
        </w:rPr>
      </w:pPr>
      <w:r>
        <w:rPr>
          <w:rFonts w:hint="eastAsia" w:ascii="仿宋" w:hAnsi="仿宋" w:eastAsia="仿宋" w:cs="仿宋"/>
          <w:b/>
          <w:bCs/>
          <w:color w:val="000000"/>
          <w:sz w:val="22"/>
          <w:szCs w:val="22"/>
        </w:rPr>
        <w:t>1.交货期及地点</w:t>
      </w:r>
    </w:p>
    <w:p w14:paraId="523878D5">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（1）交货期：每次配送时间必须严格按照采购人配送通知执行，</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应于收到通知后2小时内响应。急救耗材的配送时间不应超过4小时，一般耗材原则上的配送时间不应超过2个工作日。</w:t>
      </w:r>
    </w:p>
    <w:p w14:paraId="6034D34B">
      <w:pPr>
        <w:spacing w:line="240" w:lineRule="exact"/>
        <w:ind w:firstLine="420"/>
        <w:rPr>
          <w:rFonts w:hint="eastAsia"/>
          <w:sz w:val="20"/>
          <w:szCs w:val="22"/>
        </w:rPr>
      </w:pPr>
      <w:r>
        <w:rPr>
          <w:rFonts w:hint="eastAsia" w:ascii="仿宋" w:hAnsi="仿宋" w:eastAsia="仿宋" w:cs="仿宋"/>
          <w:color w:val="000000"/>
          <w:sz w:val="22"/>
          <w:szCs w:val="22"/>
        </w:rPr>
        <w:t>（2）交货地点：内江市第一人民医院指定地点。</w:t>
      </w:r>
    </w:p>
    <w:p w14:paraId="68AF31CB">
      <w:pPr>
        <w:spacing w:line="240" w:lineRule="exact"/>
        <w:ind w:firstLine="420"/>
        <w:rPr>
          <w:rFonts w:hint="eastAsia" w:ascii="仿宋" w:hAnsi="仿宋" w:eastAsia="仿宋" w:cs="仿宋"/>
          <w:b/>
          <w:bCs/>
          <w:color w:val="000000"/>
          <w:sz w:val="22"/>
          <w:szCs w:val="22"/>
        </w:rPr>
      </w:pPr>
      <w:r>
        <w:rPr>
          <w:rFonts w:hint="eastAsia" w:ascii="仿宋" w:hAnsi="仿宋" w:eastAsia="仿宋" w:cs="仿宋"/>
          <w:b/>
          <w:bCs/>
          <w:color w:val="000000"/>
          <w:sz w:val="22"/>
          <w:szCs w:val="22"/>
        </w:rPr>
        <w:t>2.付款方法和条件</w:t>
      </w:r>
    </w:p>
    <w:p w14:paraId="0B3317B2">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（1）结算方式：货款按实结算且由双方协商决定。</w:t>
      </w:r>
    </w:p>
    <w:p w14:paraId="6AB52ADF">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（2）成交价格包含成本、运输、包装、培训、配送、伴随服务、税费及其他附加费用。</w:t>
      </w:r>
    </w:p>
    <w:p w14:paraId="27C22353">
      <w:pPr>
        <w:spacing w:line="240" w:lineRule="exact"/>
        <w:ind w:firstLine="420"/>
        <w:rPr>
          <w:rFonts w:hint="eastAsia" w:ascii="仿宋" w:hAnsi="仿宋" w:eastAsia="仿宋" w:cs="仿宋"/>
          <w:b/>
          <w:bCs/>
          <w:color w:val="000000"/>
          <w:sz w:val="22"/>
          <w:szCs w:val="22"/>
        </w:rPr>
      </w:pPr>
      <w:r>
        <w:rPr>
          <w:rFonts w:hint="eastAsia" w:ascii="仿宋" w:hAnsi="仿宋" w:eastAsia="仿宋" w:cs="仿宋"/>
          <w:b/>
          <w:bCs/>
          <w:color w:val="000000"/>
          <w:sz w:val="22"/>
          <w:szCs w:val="22"/>
        </w:rPr>
        <w:t>3.医用耗材质量保证</w:t>
      </w:r>
    </w:p>
    <w:p w14:paraId="64D0ACCA">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（1）</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须提供原厂生产的未曾使用过的、全新的合格的货品（含配套配件等），表面无划伤、无破损痕迹，且权属清楚，不得侵害他人的合法权利。</w:t>
      </w:r>
    </w:p>
    <w:p w14:paraId="7C831CA4">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（2）</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所</w:t>
      </w:r>
      <w:r>
        <w:rPr>
          <w:rFonts w:hint="eastAsia" w:ascii="仿宋" w:hAnsi="仿宋" w:eastAsia="仿宋" w:cs="仿宋"/>
          <w:color w:val="000000"/>
          <w:sz w:val="22"/>
          <w:szCs w:val="22"/>
          <w:lang w:val="en-US" w:eastAsia="zh-CN"/>
        </w:rPr>
        <w:t>配送的</w:t>
      </w:r>
      <w:r>
        <w:rPr>
          <w:rFonts w:hint="eastAsia" w:ascii="仿宋" w:hAnsi="仿宋" w:eastAsia="仿宋" w:cs="仿宋"/>
          <w:color w:val="000000"/>
          <w:sz w:val="22"/>
          <w:szCs w:val="22"/>
        </w:rPr>
        <w:t>货品须符合或优于国家（行业）标准、本项目</w:t>
      </w:r>
      <w:r>
        <w:rPr>
          <w:rFonts w:hint="eastAsia" w:ascii="仿宋" w:hAnsi="仿宋" w:eastAsia="仿宋" w:cs="仿宋"/>
          <w:color w:val="000000"/>
          <w:sz w:val="22"/>
          <w:szCs w:val="22"/>
          <w:lang w:eastAsia="zh-CN"/>
        </w:rPr>
        <w:t>竞选文件</w:t>
      </w:r>
      <w:r>
        <w:rPr>
          <w:rFonts w:hint="eastAsia" w:ascii="仿宋" w:hAnsi="仿宋" w:eastAsia="仿宋" w:cs="仿宋"/>
          <w:color w:val="000000"/>
          <w:sz w:val="22"/>
          <w:szCs w:val="22"/>
        </w:rPr>
        <w:t>要求及</w:t>
      </w:r>
      <w:r>
        <w:rPr>
          <w:rFonts w:hint="eastAsia" w:ascii="仿宋" w:hAnsi="仿宋" w:eastAsia="仿宋" w:cs="仿宋"/>
          <w:color w:val="000000"/>
          <w:sz w:val="22"/>
          <w:szCs w:val="22"/>
          <w:lang w:eastAsia="zh-CN"/>
        </w:rPr>
        <w:t>响应文件</w:t>
      </w:r>
      <w:r>
        <w:rPr>
          <w:rFonts w:hint="eastAsia" w:ascii="仿宋" w:hAnsi="仿宋" w:eastAsia="仿宋" w:cs="仿宋"/>
          <w:color w:val="000000"/>
          <w:sz w:val="22"/>
          <w:szCs w:val="22"/>
        </w:rPr>
        <w:t>响应内容。当</w:t>
      </w:r>
      <w:r>
        <w:rPr>
          <w:rFonts w:hint="eastAsia" w:ascii="仿宋" w:hAnsi="仿宋" w:eastAsia="仿宋" w:cs="仿宋"/>
          <w:color w:val="000000"/>
          <w:sz w:val="22"/>
          <w:szCs w:val="22"/>
          <w:lang w:eastAsia="zh-CN"/>
        </w:rPr>
        <w:t>响应文件</w:t>
      </w:r>
      <w:r>
        <w:rPr>
          <w:rFonts w:hint="eastAsia" w:ascii="仿宋" w:hAnsi="仿宋" w:eastAsia="仿宋" w:cs="仿宋"/>
          <w:color w:val="000000"/>
          <w:sz w:val="22"/>
          <w:szCs w:val="22"/>
        </w:rPr>
        <w:t>响应内容与</w:t>
      </w:r>
      <w:r>
        <w:rPr>
          <w:rFonts w:hint="eastAsia" w:ascii="仿宋" w:hAnsi="仿宋" w:eastAsia="仿宋" w:cs="仿宋"/>
          <w:color w:val="000000"/>
          <w:sz w:val="22"/>
          <w:szCs w:val="22"/>
          <w:lang w:eastAsia="zh-CN"/>
        </w:rPr>
        <w:t>竞选文件</w:t>
      </w:r>
      <w:r>
        <w:rPr>
          <w:rFonts w:hint="eastAsia" w:ascii="仿宋" w:hAnsi="仿宋" w:eastAsia="仿宋" w:cs="仿宋"/>
          <w:color w:val="000000"/>
          <w:sz w:val="22"/>
          <w:szCs w:val="22"/>
        </w:rPr>
        <w:t>要求不一致时，以</w:t>
      </w:r>
      <w:r>
        <w:rPr>
          <w:rFonts w:hint="eastAsia" w:ascii="仿宋" w:hAnsi="仿宋" w:eastAsia="仿宋" w:cs="仿宋"/>
          <w:color w:val="000000"/>
          <w:sz w:val="22"/>
          <w:szCs w:val="22"/>
          <w:lang w:eastAsia="zh-CN"/>
        </w:rPr>
        <w:t>响应文件</w:t>
      </w:r>
      <w:r>
        <w:rPr>
          <w:rFonts w:hint="eastAsia" w:ascii="仿宋" w:hAnsi="仿宋" w:eastAsia="仿宋" w:cs="仿宋"/>
          <w:color w:val="000000"/>
          <w:sz w:val="22"/>
          <w:szCs w:val="22"/>
        </w:rPr>
        <w:t>响应内容为准。当</w:t>
      </w:r>
      <w:r>
        <w:rPr>
          <w:rFonts w:hint="eastAsia" w:ascii="仿宋" w:hAnsi="仿宋" w:eastAsia="仿宋" w:cs="仿宋"/>
          <w:color w:val="000000"/>
          <w:sz w:val="22"/>
          <w:szCs w:val="22"/>
          <w:lang w:eastAsia="zh-CN"/>
        </w:rPr>
        <w:t>响应文件</w:t>
      </w:r>
      <w:r>
        <w:rPr>
          <w:rFonts w:hint="eastAsia" w:ascii="仿宋" w:hAnsi="仿宋" w:eastAsia="仿宋" w:cs="仿宋"/>
          <w:color w:val="000000"/>
          <w:sz w:val="22"/>
          <w:szCs w:val="22"/>
        </w:rPr>
        <w:t>响应内容与国家标准、行业标准（若有）不一致时，以较高标准为准。</w:t>
      </w:r>
    </w:p>
    <w:p w14:paraId="2585EC2D">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（3）</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提供货品的设计技术专利、外形专利等均应符合我国有关法律法规及行业标准，凡因以上问题与第三方发生的任何纠纷，由</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承担全部责任，</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lang w:eastAsia="zh-Hans"/>
        </w:rPr>
        <w:t>还应</w:t>
      </w:r>
      <w:r>
        <w:rPr>
          <w:rFonts w:hint="eastAsia" w:ascii="仿宋" w:hAnsi="仿宋" w:eastAsia="仿宋" w:cs="仿宋"/>
          <w:color w:val="000000"/>
          <w:sz w:val="22"/>
          <w:szCs w:val="22"/>
        </w:rPr>
        <w:t>负责赔偿采购人由此而遭受的全部损失。</w:t>
      </w:r>
    </w:p>
    <w:p w14:paraId="177209E3">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（4）</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保证其提供货品的安全可靠性。在正常使用下不应对使用者造成任何人身伤害，如因产品质量或标示不明确而对使用者造成损失的，由</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承担相应责任。</w:t>
      </w:r>
    </w:p>
    <w:p w14:paraId="4BAFEBD2">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（5）</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应保证所供耗材原产地真实，医用耗材是全新的、未使用过的，质量符合国家标准（在无国家标准时，符合行业标准），不得以假充真，以次充好，确保临床医疗安全。如出现质量问题，</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3DF21C84">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（6）</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保证所供耗材有效期不低于1年，自通过最终验收之日起，确保采购人在使用耗材的过程中安全、有效。</w:t>
      </w:r>
    </w:p>
    <w:p w14:paraId="76E17907">
      <w:pPr>
        <w:spacing w:line="240" w:lineRule="exact"/>
        <w:ind w:firstLine="420"/>
        <w:rPr>
          <w:rFonts w:hint="eastAsia" w:ascii="仿宋" w:hAnsi="仿宋" w:eastAsia="仿宋" w:cs="仿宋"/>
          <w:b/>
          <w:bCs/>
          <w:color w:val="000000"/>
          <w:sz w:val="22"/>
          <w:szCs w:val="22"/>
        </w:rPr>
      </w:pPr>
      <w:r>
        <w:rPr>
          <w:rFonts w:hint="eastAsia" w:ascii="仿宋" w:hAnsi="仿宋" w:eastAsia="仿宋" w:cs="仿宋"/>
          <w:b/>
          <w:bCs/>
          <w:color w:val="000000"/>
          <w:sz w:val="22"/>
          <w:szCs w:val="22"/>
        </w:rPr>
        <w:t>4.验收</w:t>
      </w:r>
    </w:p>
    <w:p w14:paraId="6B248A88">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（1）按照《财政部关于进一步加强政府采购需求和履约验收管理的指导意见》（财库〔2016〕205号）的要求以及采购人</w:t>
      </w:r>
      <w:r>
        <w:rPr>
          <w:rFonts w:hint="eastAsia" w:ascii="仿宋" w:hAnsi="仿宋" w:eastAsia="仿宋" w:cs="仿宋"/>
          <w:color w:val="000000"/>
          <w:sz w:val="22"/>
          <w:szCs w:val="22"/>
          <w:lang w:eastAsia="zh-CN"/>
        </w:rPr>
        <w:t>竞选文件</w:t>
      </w:r>
      <w:r>
        <w:rPr>
          <w:rFonts w:hint="eastAsia" w:ascii="仿宋" w:hAnsi="仿宋" w:eastAsia="仿宋" w:cs="仿宋"/>
          <w:color w:val="000000"/>
          <w:sz w:val="22"/>
          <w:szCs w:val="22"/>
        </w:rPr>
        <w:t>的质量要求和技术指标、</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的</w:t>
      </w:r>
      <w:r>
        <w:rPr>
          <w:rFonts w:hint="eastAsia" w:ascii="仿宋" w:hAnsi="仿宋" w:eastAsia="仿宋" w:cs="仿宋"/>
          <w:color w:val="000000"/>
          <w:sz w:val="22"/>
          <w:szCs w:val="22"/>
          <w:lang w:eastAsia="zh-CN"/>
        </w:rPr>
        <w:t>响应文件</w:t>
      </w:r>
      <w:r>
        <w:rPr>
          <w:rFonts w:hint="eastAsia" w:ascii="仿宋" w:hAnsi="仿宋" w:eastAsia="仿宋" w:cs="仿宋"/>
          <w:color w:val="000000"/>
          <w:sz w:val="22"/>
          <w:szCs w:val="22"/>
        </w:rPr>
        <w:t>及承诺（若有）、国家（行业）标准、采购合同约定标准进行验收；</w:t>
      </w:r>
    </w:p>
    <w:p w14:paraId="68241C63">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2）验收时如发现所交付的货物有短装、次品、损坏或其他不符合验收标准的，采购人应做出详尽的现场记录，此现场记录或备忘录可用作补充、缺失和更换损坏部件的有效证据，由此产生的时间延误与有关费用由</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承担，验收期限相应顺延；</w:t>
      </w:r>
    </w:p>
    <w:p w14:paraId="1A36DC30">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（3）若所提供货物不符合验收标准，</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经过2次维修或2次调换后仍不能达到验收质量标准，则视为验收不合格，采购人有权全部（或部分）退货或解除合同。接到采购人退货通知，</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除应及时运走采购人退还的货物外（若涉及费用或损失均由</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自行承担），还应向采购人承担相应的违约责任。</w:t>
      </w:r>
    </w:p>
    <w:p w14:paraId="73B3DC74">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（4）其他未尽事宜严格按照《财政部关于进一步加强政府采购需求和履约验收管理的指导意见》（财库〔2016〕205号）的要求进行。</w:t>
      </w:r>
    </w:p>
    <w:p w14:paraId="0BB2A362">
      <w:pPr>
        <w:spacing w:line="240" w:lineRule="exact"/>
        <w:ind w:firstLine="420"/>
        <w:rPr>
          <w:rFonts w:hint="eastAsia" w:ascii="仿宋" w:hAnsi="仿宋" w:eastAsia="仿宋" w:cs="仿宋"/>
          <w:b/>
          <w:bCs/>
          <w:color w:val="000000"/>
          <w:sz w:val="22"/>
          <w:szCs w:val="22"/>
        </w:rPr>
      </w:pPr>
      <w:r>
        <w:rPr>
          <w:rFonts w:hint="eastAsia" w:ascii="仿宋" w:hAnsi="仿宋" w:eastAsia="仿宋" w:cs="仿宋"/>
          <w:b/>
          <w:bCs/>
          <w:color w:val="000000"/>
          <w:sz w:val="22"/>
          <w:szCs w:val="22"/>
        </w:rPr>
        <w:t>5.售后服务</w:t>
      </w:r>
    </w:p>
    <w:p w14:paraId="1ABD2EB8">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（1）要求</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必须严格按照</w:t>
      </w:r>
      <w:r>
        <w:rPr>
          <w:rFonts w:hint="eastAsia" w:ascii="仿宋" w:hAnsi="仿宋" w:eastAsia="仿宋" w:cs="仿宋"/>
          <w:color w:val="000000"/>
          <w:sz w:val="22"/>
          <w:szCs w:val="22"/>
          <w:lang w:eastAsia="zh-CN"/>
        </w:rPr>
        <w:t>竞选文件</w:t>
      </w:r>
      <w:r>
        <w:rPr>
          <w:rFonts w:hint="eastAsia" w:ascii="仿宋" w:hAnsi="仿宋" w:eastAsia="仿宋" w:cs="仿宋"/>
          <w:color w:val="000000"/>
          <w:sz w:val="22"/>
          <w:szCs w:val="22"/>
        </w:rPr>
        <w:t>要求和</w:t>
      </w:r>
      <w:r>
        <w:rPr>
          <w:rFonts w:hint="eastAsia" w:ascii="仿宋" w:hAnsi="仿宋" w:eastAsia="仿宋" w:cs="仿宋"/>
          <w:color w:val="000000"/>
          <w:sz w:val="22"/>
          <w:szCs w:val="22"/>
          <w:lang w:eastAsia="zh-CN"/>
        </w:rPr>
        <w:t>响应文件</w:t>
      </w:r>
      <w:r>
        <w:rPr>
          <w:rFonts w:hint="eastAsia" w:ascii="仿宋" w:hAnsi="仿宋" w:eastAsia="仿宋" w:cs="仿宋"/>
          <w:color w:val="000000"/>
          <w:sz w:val="22"/>
          <w:szCs w:val="22"/>
        </w:rPr>
        <w:t>中的承诺提供配送服务。如果配送的医用耗材规格、包装等信息与中标产品的规格、包装等信息不一致并不同意更换的，或配送的医用耗材和中标产品不一致的，采购人有权终止合同。</w:t>
      </w:r>
    </w:p>
    <w:p w14:paraId="02309134">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（2）要求</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指派专人负责与采购人联系售后服务事宜；在</w:t>
      </w:r>
      <w:r>
        <w:rPr>
          <w:rFonts w:hint="eastAsia" w:ascii="仿宋" w:hAnsi="仿宋" w:eastAsia="仿宋" w:cs="仿宋"/>
          <w:color w:val="000000"/>
          <w:sz w:val="22"/>
          <w:szCs w:val="22"/>
          <w:lang w:eastAsia="zh-CN"/>
        </w:rPr>
        <w:t>响应文件</w:t>
      </w:r>
      <w:r>
        <w:rPr>
          <w:rFonts w:hint="eastAsia" w:ascii="仿宋" w:hAnsi="仿宋" w:eastAsia="仿宋" w:cs="仿宋"/>
          <w:color w:val="000000"/>
          <w:sz w:val="22"/>
          <w:szCs w:val="22"/>
        </w:rPr>
        <w:t>中列明售后联系人及联系电话。</w:t>
      </w:r>
    </w:p>
    <w:p w14:paraId="021FB3B1">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（3）要求</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4468F035">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（4）耗材临近失效期，采购人提前三个月向</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提出更换，</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须在耗材失效前一个月更换完毕，不得以任何理由进行推诿。</w:t>
      </w:r>
    </w:p>
    <w:p w14:paraId="248DB8FC">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（5）</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必须随货提供其具备医疗器械经营企业的有关合法有效的手续（包括但不限于）：</w:t>
      </w:r>
    </w:p>
    <w:p w14:paraId="2E454417">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1).产品所涉及逐级授权经销商的医疗器械生产（经营）许可证或生产（经营）企业备案表；</w:t>
      </w:r>
    </w:p>
    <w:p w14:paraId="746195C4">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2).医疗器械产品注册证或备案凭证；</w:t>
      </w:r>
    </w:p>
    <w:p w14:paraId="633D47D5">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3).医疗器械生产企业许可证；</w:t>
      </w:r>
    </w:p>
    <w:p w14:paraId="6E8BE70C">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4).经销商获得的委托授权书（逐级）；</w:t>
      </w:r>
    </w:p>
    <w:p w14:paraId="4CB1F1BC">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5).产品所涉及逐级授权经销商的企业法人营业执照。</w:t>
      </w:r>
    </w:p>
    <w:p w14:paraId="0651B907">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6).采购人要求提供的相关资料。</w:t>
      </w:r>
    </w:p>
    <w:p w14:paraId="08A8E0F1">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或厂家原因无法按上述要求执行的，则采购人可以解除与</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在成交合同中对该产品的采购相关约定。</w:t>
      </w:r>
    </w:p>
    <w:p w14:paraId="6D08D119">
      <w:pPr>
        <w:spacing w:line="240" w:lineRule="exact"/>
        <w:ind w:firstLine="420"/>
        <w:rPr>
          <w:rFonts w:hint="eastAsia" w:ascii="仿宋" w:hAnsi="仿宋" w:eastAsia="仿宋" w:cs="仿宋"/>
          <w:b/>
          <w:bCs/>
          <w:color w:val="000000"/>
          <w:sz w:val="22"/>
          <w:szCs w:val="22"/>
        </w:rPr>
      </w:pPr>
      <w:r>
        <w:rPr>
          <w:rFonts w:hint="eastAsia" w:ascii="仿宋" w:hAnsi="仿宋" w:eastAsia="仿宋" w:cs="仿宋"/>
          <w:b/>
          <w:bCs/>
          <w:color w:val="000000"/>
          <w:sz w:val="22"/>
          <w:szCs w:val="22"/>
        </w:rPr>
        <w:t xml:space="preserve">6.包装和运输 </w:t>
      </w:r>
    </w:p>
    <w:p w14:paraId="2DEB79E2">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（1）</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 xml:space="preserve">须严格按照《商品包装政府采购需求标准(试行)》、《快递包装政府采购需 求标准(试行)》(财办库〔2020〕123 号)的要求进行产品及相关快递服务的包装。 </w:t>
      </w:r>
    </w:p>
    <w:p w14:paraId="459BC230">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（2）</w:t>
      </w:r>
      <w:r>
        <w:rPr>
          <w:rFonts w:hint="eastAsia" w:ascii="仿宋" w:hAnsi="仿宋" w:eastAsia="仿宋" w:cs="仿宋"/>
          <w:color w:val="000000"/>
          <w:sz w:val="22"/>
          <w:szCs w:val="22"/>
          <w:lang w:eastAsia="zh-CN"/>
        </w:rPr>
        <w:t>供应商</w:t>
      </w:r>
      <w:r>
        <w:rPr>
          <w:rFonts w:hint="eastAsia" w:ascii="仿宋" w:hAnsi="仿宋" w:eastAsia="仿宋" w:cs="仿宋"/>
          <w:color w:val="000000"/>
          <w:sz w:val="22"/>
          <w:szCs w:val="22"/>
        </w:rPr>
        <w:t xml:space="preserve">应当按照约定的方式交付标的物。对于包装方式没有约定或者约定不明确的，应当按照通用的方式包装；没有通用方式的，应当采取足以保护标的物且有利于节约资源，保护生态环境的包装方式。 </w:t>
      </w:r>
    </w:p>
    <w:p w14:paraId="66777C87">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（3）本次采购的标的物需要运输，</w:t>
      </w:r>
      <w:r>
        <w:rPr>
          <w:rFonts w:hint="eastAsia" w:ascii="仿宋" w:hAnsi="仿宋" w:eastAsia="仿宋" w:cs="仿宋"/>
          <w:color w:val="000000"/>
          <w:sz w:val="22"/>
          <w:szCs w:val="22"/>
          <w:lang w:eastAsia="zh-CN"/>
        </w:rPr>
        <w:t xml:space="preserve">供应商 </w:t>
      </w:r>
      <w:r>
        <w:rPr>
          <w:rFonts w:hint="eastAsia" w:ascii="仿宋" w:hAnsi="仿宋" w:eastAsia="仿宋" w:cs="仿宋"/>
          <w:color w:val="000000"/>
          <w:sz w:val="22"/>
          <w:szCs w:val="22"/>
        </w:rPr>
        <w:t>在合同约定的时间内将标的物运输至合同约定地点。</w:t>
      </w:r>
    </w:p>
    <w:p w14:paraId="40FD1C43">
      <w:pPr>
        <w:spacing w:line="240" w:lineRule="exact"/>
        <w:ind w:firstLine="420"/>
        <w:rPr>
          <w:rFonts w:hint="default"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7.</w:t>
      </w:r>
      <w:r>
        <w:rPr>
          <w:rFonts w:hint="default" w:ascii="仿宋" w:hAnsi="仿宋" w:eastAsia="仿宋" w:cs="仿宋"/>
          <w:b/>
          <w:bCs/>
          <w:color w:val="000000"/>
          <w:sz w:val="22"/>
          <w:szCs w:val="22"/>
          <w:lang w:val="en-US" w:eastAsia="zh-CN"/>
        </w:rPr>
        <w:t>违约责任与解决争议的方法</w:t>
      </w:r>
    </w:p>
    <w:p w14:paraId="3FE45EDE">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违约责任</w:t>
      </w:r>
    </w:p>
    <w:p w14:paraId="3206BB27">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1、</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逾期15日内不能提供采购人所需医用耗材的，应向采购人每日支付该批次货款千分之三的违约金。</w:t>
      </w:r>
    </w:p>
    <w:p w14:paraId="0285F5E6">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2、</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逾期15日及以上不能交付以上产品的，视同不能供货，须向采购人支付该批次货款的10%的违约金，同时采购人可以单方面解除采购合同。</w:t>
      </w:r>
    </w:p>
    <w:p w14:paraId="0AA9D6E6">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3、若因</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原因造成采购人被监管部门通报三次及以上的或者造成采购人违规采购，采购人有权单方面解除采购合同。同时，采购人有权要求</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支付该批货物价款20%的违约金。</w:t>
      </w:r>
    </w:p>
    <w:p w14:paraId="78A11906">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4、</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销售的产品若发生严重医疗不良事件或被国家法定检测机构检测为不合格产品，视为</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违约导致不能实现采购合同目的，采购人有权单方面解除采购合同，并要求</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限期收回不合格产品，并要求</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需承担合同价款20%的违约金，违约金不足以</w:t>
      </w:r>
      <w:r>
        <w:rPr>
          <w:rFonts w:hint="eastAsia" w:ascii="仿宋" w:hAnsi="仿宋" w:eastAsia="仿宋" w:cs="仿宋"/>
          <w:color w:val="000000"/>
          <w:sz w:val="22"/>
          <w:szCs w:val="22"/>
          <w:lang w:eastAsia="zh-Hans"/>
        </w:rPr>
        <w:t>弥补</w:t>
      </w:r>
      <w:r>
        <w:rPr>
          <w:rFonts w:hint="eastAsia" w:ascii="仿宋" w:hAnsi="仿宋" w:eastAsia="仿宋" w:cs="仿宋"/>
          <w:color w:val="000000"/>
          <w:sz w:val="22"/>
          <w:szCs w:val="22"/>
        </w:rPr>
        <w:t>采购人损失的，</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还应当承</w:t>
      </w:r>
      <w:r>
        <w:rPr>
          <w:rFonts w:hint="eastAsia" w:ascii="仿宋" w:hAnsi="仿宋" w:eastAsia="仿宋" w:cs="仿宋"/>
          <w:color w:val="000000"/>
          <w:sz w:val="22"/>
          <w:szCs w:val="22"/>
          <w:lang w:eastAsia="zh-Hans"/>
        </w:rPr>
        <w:t>补足</w:t>
      </w:r>
      <w:r>
        <w:rPr>
          <w:rFonts w:hint="eastAsia" w:ascii="仿宋" w:hAnsi="仿宋" w:eastAsia="仿宋" w:cs="仿宋"/>
          <w:color w:val="000000"/>
          <w:sz w:val="22"/>
          <w:szCs w:val="22"/>
        </w:rPr>
        <w:t>。</w:t>
      </w:r>
    </w:p>
    <w:p w14:paraId="3D4BE552">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即使产品已经验收入库（或安装调试完毕）后，采购人才发现产品为不合格产品的，也视为</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违约，</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应当承担本条约定的责任。同时采购人有权退回库存产品。</w:t>
      </w:r>
    </w:p>
    <w:p w14:paraId="6C4493B7">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5、若根据法律规定或本协议约定产生采购人退、换货或拒绝收货情形，由</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承担退换货产生的各项税、费或其他支出。</w:t>
      </w:r>
    </w:p>
    <w:p w14:paraId="67C0DB26">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6、</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不能保证及时供货，除应当向采购人承担违约责任外，采购人仍有权单方面解除采购合同。</w:t>
      </w:r>
    </w:p>
    <w:p w14:paraId="7E73C8BD">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7、因</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提供的产品不合格造成采购人或第三人人身损害或财产损失的，由</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承担赔偿责任。</w:t>
      </w:r>
    </w:p>
    <w:p w14:paraId="51FB896E">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8、若因</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原因造成采购人挂网执行存在问题以及线上支付不及时、造成采购人未挂网采购的或者存在其他问题的，</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应承担违约责任，且采购人有权要求</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支付该批货物价款20%的违约金，采购人有权单方面解除合同。</w:t>
      </w:r>
    </w:p>
    <w:p w14:paraId="083F1D9D">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解决合同纠纷的方式</w:t>
      </w:r>
    </w:p>
    <w:p w14:paraId="2852E2C8">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1、因货物的质量问题发生的争议，由法定质量鉴定机构或其认可的质量鉴定机构进行质量鉴定。货物符合标准的，鉴定费由采购人承担；货物不符合质量标准的，鉴定费由</w:t>
      </w:r>
      <w:r>
        <w:rPr>
          <w:rFonts w:hint="eastAsia" w:ascii="仿宋" w:hAnsi="仿宋" w:eastAsia="仿宋" w:cs="仿宋"/>
          <w:color w:val="000000"/>
          <w:sz w:val="22"/>
          <w:szCs w:val="22"/>
          <w:lang w:eastAsia="zh-CN"/>
        </w:rPr>
        <w:t>中选人</w:t>
      </w:r>
      <w:r>
        <w:rPr>
          <w:rFonts w:hint="eastAsia" w:ascii="仿宋" w:hAnsi="仿宋" w:eastAsia="仿宋" w:cs="仿宋"/>
          <w:color w:val="000000"/>
          <w:sz w:val="22"/>
          <w:szCs w:val="22"/>
        </w:rPr>
        <w:t>承担。</w:t>
      </w:r>
    </w:p>
    <w:p w14:paraId="74F1F1A1">
      <w:pPr>
        <w:spacing w:line="240" w:lineRule="exact"/>
        <w:ind w:firstLine="420"/>
        <w:rPr>
          <w:rFonts w:hint="eastAsia" w:ascii="仿宋" w:hAnsi="仿宋" w:eastAsia="仿宋" w:cs="仿宋"/>
          <w:color w:val="000000"/>
          <w:sz w:val="22"/>
          <w:szCs w:val="22"/>
        </w:rPr>
      </w:pPr>
      <w:r>
        <w:rPr>
          <w:rFonts w:hint="eastAsia" w:ascii="仿宋" w:hAnsi="仿宋" w:eastAsia="仿宋" w:cs="仿宋"/>
          <w:color w:val="000000"/>
          <w:sz w:val="22"/>
          <w:szCs w:val="22"/>
        </w:rPr>
        <w:t>2、合同履行期间，若双方发生争议，可协商或由有关部门调解解决，协商或调解不成的，可向采购人所在地人民法院依法提起诉讼。</w:t>
      </w:r>
    </w:p>
    <w:p w14:paraId="73BBDC5B">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w:t>
      </w:r>
      <w:r>
        <w:rPr>
          <w:rFonts w:hint="default" w:ascii="仿宋" w:hAnsi="仿宋" w:eastAsia="仿宋" w:cs="仿宋"/>
          <w:color w:val="000000"/>
          <w:sz w:val="22"/>
          <w:szCs w:val="22"/>
          <w:lang w:val="en-US" w:eastAsia="zh-CN"/>
        </w:rPr>
        <w:t>履行期限</w:t>
      </w:r>
      <w:r>
        <w:rPr>
          <w:rFonts w:hint="eastAsia" w:ascii="仿宋" w:hAnsi="仿宋" w:eastAsia="仿宋" w:cs="仿宋"/>
          <w:color w:val="000000"/>
          <w:sz w:val="22"/>
          <w:szCs w:val="22"/>
          <w:lang w:val="en-US" w:eastAsia="zh-CN"/>
        </w:rPr>
        <w:t>：3年；</w:t>
      </w:r>
    </w:p>
    <w:p w14:paraId="6596C188">
      <w:pPr>
        <w:spacing w:line="240" w:lineRule="exact"/>
        <w:ind w:firstLine="420"/>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（3）支付方式：双方协商确定。</w:t>
      </w:r>
    </w:p>
    <w:p w14:paraId="0853AD8A">
      <w:pPr>
        <w:spacing w:line="240" w:lineRule="exact"/>
        <w:ind w:firstLine="420"/>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w:t>
      </w:r>
      <w:r>
        <w:rPr>
          <w:rFonts w:hint="default" w:ascii="仿宋" w:hAnsi="仿宋" w:eastAsia="仿宋" w:cs="仿宋"/>
          <w:color w:val="000000"/>
          <w:sz w:val="22"/>
          <w:szCs w:val="22"/>
          <w:lang w:val="en-US" w:eastAsia="zh-CN"/>
        </w:rPr>
        <w:t>履约验收程序</w:t>
      </w:r>
      <w:r>
        <w:rPr>
          <w:rFonts w:hint="eastAsia" w:ascii="仿宋" w:hAnsi="仿宋" w:eastAsia="仿宋" w:cs="仿宋"/>
          <w:color w:val="000000"/>
          <w:sz w:val="22"/>
          <w:szCs w:val="22"/>
          <w:lang w:val="en-US" w:eastAsia="zh-CN"/>
        </w:rPr>
        <w:t>：分批次验收。</w:t>
      </w:r>
    </w:p>
    <w:p w14:paraId="586610DC">
      <w:pPr>
        <w:rPr>
          <w:rFonts w:hint="eastAsia"/>
          <w:lang w:val="en-US" w:eastAsia="zh-CN"/>
        </w:rPr>
      </w:pPr>
      <w:r>
        <w:rPr>
          <w:rFonts w:hint="eastAsia" w:ascii="仿宋" w:hAnsi="仿宋" w:eastAsia="仿宋" w:cs="仿宋"/>
          <w:color w:val="000000"/>
          <w:sz w:val="22"/>
          <w:szCs w:val="22"/>
          <w:lang w:val="en-US" w:eastAsia="zh-CN"/>
        </w:rPr>
        <w:t>（5）</w:t>
      </w:r>
      <w:r>
        <w:rPr>
          <w:rFonts w:hint="default" w:ascii="仿宋" w:hAnsi="仿宋" w:eastAsia="仿宋" w:cs="仿宋"/>
          <w:color w:val="000000"/>
          <w:sz w:val="22"/>
          <w:szCs w:val="22"/>
          <w:lang w:val="en-US" w:eastAsia="zh-CN"/>
        </w:rPr>
        <w:t>履约验收时间：合同期限内，根据采购人要求分</w:t>
      </w:r>
      <w:r>
        <w:rPr>
          <w:rFonts w:hint="eastAsia" w:ascii="仿宋" w:hAnsi="仿宋" w:eastAsia="仿宋" w:cs="仿宋"/>
          <w:color w:val="000000"/>
          <w:sz w:val="22"/>
          <w:szCs w:val="22"/>
          <w:lang w:val="en-US" w:eastAsia="zh-CN"/>
        </w:rPr>
        <w:t>提供服务</w:t>
      </w:r>
      <w:r>
        <w:rPr>
          <w:rFonts w:hint="default" w:ascii="仿宋" w:hAnsi="仿宋" w:eastAsia="仿宋" w:cs="仿宋"/>
          <w:color w:val="000000"/>
          <w:sz w:val="22"/>
          <w:szCs w:val="22"/>
          <w:lang w:val="en-US" w:eastAsia="zh-CN"/>
        </w:rPr>
        <w:t>，完成</w:t>
      </w:r>
      <w:r>
        <w:rPr>
          <w:rFonts w:hint="eastAsia" w:ascii="仿宋" w:hAnsi="仿宋" w:eastAsia="仿宋" w:cs="仿宋"/>
          <w:color w:val="000000"/>
          <w:sz w:val="22"/>
          <w:szCs w:val="22"/>
          <w:lang w:val="en-US" w:eastAsia="zh-CN"/>
        </w:rPr>
        <w:t>相关服务</w:t>
      </w:r>
      <w:r>
        <w:rPr>
          <w:rFonts w:hint="default" w:ascii="仿宋" w:hAnsi="仿宋" w:eastAsia="仿宋" w:cs="仿宋"/>
          <w:color w:val="000000"/>
          <w:sz w:val="22"/>
          <w:szCs w:val="22"/>
          <w:lang w:val="en-US" w:eastAsia="zh-CN"/>
        </w:rPr>
        <w:t>、并经由采购人确认后视为验收完成。</w:t>
      </w:r>
      <w:bookmarkStart w:id="39" w:name="_GoBack"/>
      <w:bookmarkEnd w:id="3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FF0592AA-C964-4FE9-801F-628E76EFF1B8}"/>
  </w:font>
  <w:font w:name="仿宋">
    <w:panose1 w:val="02010609060101010101"/>
    <w:charset w:val="86"/>
    <w:family w:val="auto"/>
    <w:pitch w:val="default"/>
    <w:sig w:usb0="800002BF" w:usb1="38CF7CFA" w:usb2="00000016" w:usb3="00000000" w:csb0="00040001" w:csb1="00000000"/>
    <w:embedRegular r:id="rId2" w:fontKey="{4B290C0D-845B-4EA4-AF5E-00252CBA184C}"/>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K">
    <w:panose1 w:val="02000000000000000000"/>
    <w:charset w:val="86"/>
    <w:family w:val="auto"/>
    <w:pitch w:val="default"/>
    <w:sig w:usb0="A00002BF" w:usb1="38CF7CFA" w:usb2="00082016" w:usb3="00000000" w:csb0="00040001" w:csb1="00000000"/>
    <w:embedRegular r:id="rId3" w:fontKey="{D439FDE0-FF3A-49EB-B459-9F9CB4DEF49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8"/>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BC7BAC"/>
    <w:rsid w:val="01BC7BAC"/>
    <w:rsid w:val="0C685E53"/>
    <w:rsid w:val="0CDE7168"/>
    <w:rsid w:val="10A06571"/>
    <w:rsid w:val="1CAB1FF4"/>
    <w:rsid w:val="37647A49"/>
    <w:rsid w:val="3A184B1B"/>
    <w:rsid w:val="3DC96858"/>
    <w:rsid w:val="3F0A537A"/>
    <w:rsid w:val="4BEA64F8"/>
    <w:rsid w:val="5B593C39"/>
    <w:rsid w:val="64DE70C9"/>
    <w:rsid w:val="662F490F"/>
    <w:rsid w:val="6E6C09B6"/>
    <w:rsid w:val="70B84386"/>
    <w:rsid w:val="77F02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3">
    <w:name w:val="index 1"/>
    <w:basedOn w:val="1"/>
    <w:next w:val="1"/>
    <w:qFormat/>
    <w:uiPriority w:val="0"/>
    <w:pPr>
      <w:widowControl w:val="0"/>
      <w:autoSpaceDE/>
      <w:autoSpaceDN/>
      <w:spacing w:before="0" w:after="0" w:line="240" w:lineRule="auto"/>
      <w:ind w:left="0" w:firstLine="5632"/>
      <w:jc w:val="both"/>
    </w:pPr>
  </w:style>
  <w:style w:type="paragraph" w:styleId="4">
    <w:name w:val="Body Text First Indent"/>
    <w:basedOn w:val="2"/>
    <w:next w:val="1"/>
    <w:qFormat/>
    <w:uiPriority w:val="99"/>
    <w:pPr>
      <w:tabs>
        <w:tab w:val="left" w:pos="780"/>
      </w:tabs>
      <w:spacing w:after="120"/>
      <w:ind w:firstLine="420" w:firstLineChars="100"/>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标题 5（有编号）（绿盟科技）"/>
    <w:basedOn w:val="1"/>
    <w:next w:val="9"/>
    <w:qFormat/>
    <w:uiPriority w:val="99"/>
    <w:pPr>
      <w:keepNext/>
      <w:keepLines/>
      <w:numPr>
        <w:ilvl w:val="4"/>
        <w:numId w:val="1"/>
      </w:numPr>
      <w:spacing w:before="280" w:after="156" w:line="377" w:lineRule="auto"/>
      <w:jc w:val="left"/>
      <w:outlineLvl w:val="4"/>
    </w:pPr>
    <w:rPr>
      <w:rFonts w:ascii="Arial" w:hAnsi="Arial" w:eastAsia="黑体" w:cs="Arial"/>
      <w:b/>
      <w:bCs/>
      <w:sz w:val="24"/>
      <w:szCs w:val="24"/>
    </w:rPr>
  </w:style>
  <w:style w:type="paragraph" w:customStyle="1" w:styleId="9">
    <w:name w:val="正文（绿盟科技）"/>
    <w:next w:val="1"/>
    <w:qFormat/>
    <w:uiPriority w:val="99"/>
    <w:pPr>
      <w:spacing w:line="300" w:lineRule="auto"/>
    </w:pPr>
    <w:rPr>
      <w:rFonts w:ascii="Arial" w:hAnsi="Arial" w:eastAsia="宋体" w:cs="Arial"/>
      <w:kern w:val="0"/>
      <w:sz w:val="21"/>
      <w:szCs w:val="21"/>
      <w:lang w:val="en-US" w:eastAsia="zh-CN" w:bidi="ar-SA"/>
    </w:rPr>
  </w:style>
  <w:style w:type="paragraph" w:customStyle="1" w:styleId="1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3550</Words>
  <Characters>3663</Characters>
  <Lines>0</Lines>
  <Paragraphs>0</Paragraphs>
  <TotalTime>0</TotalTime>
  <ScaleCrop>false</ScaleCrop>
  <LinksUpToDate>false</LinksUpToDate>
  <CharactersWithSpaces>3669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2025-05-20T03:11:00Z</dcterms:created>
  <dc:creator>SJ</dc:creator>
  <cp:lastModifiedBy>SJ</cp:lastModifiedBy>
  <dcterms:modified xsi:type="dcterms:W3CDTF">2025-09-11T02:23:45Z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B71F2C44AE354D76930F3A43A55D01B3_11</vt:lpwstr>
  </property>
  <property fmtid="{D5CDD505-2E9C-101B-9397-08002B2CF9AE}" pid="4" name="KSOTemplateDocerSaveRecord">
    <vt:lpwstr>eyJoZGlkIjoiNWJhY2IwZDY2NTUxMWY1NDljOWI5MWY1NjYxYWI4Y2MiLCJ1c2VySWQiOiIyNTYwMTc2MTQifQ==</vt:lpwstr>
  </property>
</Properties>
</file>