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F58DC5">
      <w:pPr>
        <w:pStyle w:val="9"/>
        <w:jc w:val="center"/>
        <w:outlineLvl w:val="0"/>
        <w:rPr>
          <w:rFonts w:hint="eastAsia" w:ascii="仿宋" w:hAnsi="仿宋" w:eastAsia="仿宋" w:cs="仿宋"/>
          <w:highlight w:val="none"/>
        </w:rPr>
      </w:pPr>
      <w:bookmarkStart w:id="0" w:name="_Toc27801"/>
      <w:r>
        <w:rPr>
          <w:rFonts w:hint="eastAsia" w:ascii="仿宋" w:hAnsi="仿宋" w:eastAsia="仿宋" w:cs="仿宋"/>
          <w:b/>
          <w:sz w:val="36"/>
          <w:highlight w:val="none"/>
        </w:rPr>
        <w:t>第三章 技术、服务及其他要求</w:t>
      </w:r>
      <w:bookmarkEnd w:id="0"/>
    </w:p>
    <w:p w14:paraId="24EDEFB0">
      <w:pPr>
        <w:keepNext w:val="0"/>
        <w:keepLines w:val="0"/>
        <w:pageBreakBefore w:val="0"/>
        <w:widowControl/>
        <w:kinsoku/>
        <w:wordWrap/>
        <w:overflowPunct/>
        <w:topLinePunct/>
        <w:autoSpaceDE w:val="0"/>
        <w:autoSpaceDN/>
        <w:bidi w:val="0"/>
        <w:adjustRightInd/>
        <w:snapToGrid/>
        <w:spacing w:after="0" w:line="360" w:lineRule="auto"/>
        <w:ind w:firstLine="0" w:firstLineChars="0"/>
        <w:textAlignment w:val="auto"/>
        <w:rPr>
          <w:rFonts w:hint="eastAsia" w:ascii="仿宋" w:hAnsi="仿宋" w:eastAsia="仿宋" w:cs="仿宋"/>
          <w:color w:val="000000"/>
          <w:sz w:val="22"/>
          <w:szCs w:val="22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4"/>
          <w:lang w:eastAsia="zh-CN"/>
        </w:rPr>
        <w:t>（</w:t>
      </w:r>
      <w:r>
        <w:rPr>
          <w:rFonts w:hint="eastAsia" w:ascii="仿宋" w:hAnsi="仿宋" w:eastAsia="仿宋" w:cs="仿宋"/>
          <w:b/>
          <w:bCs/>
          <w:sz w:val="24"/>
          <w:szCs w:val="24"/>
        </w:rPr>
        <w:t>注意: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</w:rPr>
        <w:t>本章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带“★”的条款为实质性要求，不允许负偏离，如有负偏离作无效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响应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处理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</w:rPr>
        <w:t>。带“▲”的条款为重要条款，负偏离将影响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</w:rPr>
        <w:t>得分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lang w:eastAsia="zh-CN"/>
        </w:rPr>
        <w:t>。未带“▲”、“★”的条款为一般条款，负偏离将影响供应商得分。</w:t>
      </w:r>
      <w:r>
        <w:rPr>
          <w:rFonts w:hint="eastAsia" w:ascii="仿宋" w:hAnsi="仿宋" w:eastAsia="仿宋" w:cs="仿宋"/>
          <w:b w:val="0"/>
          <w:bCs w:val="0"/>
          <w:sz w:val="24"/>
          <w:lang w:eastAsia="zh-CN"/>
        </w:rPr>
        <w:t>）</w:t>
      </w:r>
    </w:p>
    <w:p w14:paraId="5060D3A3">
      <w:pPr>
        <w:pStyle w:val="9"/>
        <w:jc w:val="left"/>
        <w:outlineLvl w:val="1"/>
        <w:rPr>
          <w:rFonts w:hint="eastAsia" w:ascii="仿宋" w:hAnsi="仿宋" w:eastAsia="仿宋" w:cs="仿宋"/>
          <w:highlight w:val="none"/>
          <w:lang w:eastAsia="zh-CN"/>
        </w:rPr>
      </w:pPr>
      <w:r>
        <w:rPr>
          <w:rFonts w:hint="eastAsia" w:ascii="仿宋" w:hAnsi="仿宋" w:eastAsia="仿宋" w:cs="仿宋"/>
          <w:b/>
          <w:sz w:val="28"/>
          <w:highlight w:val="none"/>
        </w:rPr>
        <w:t>3.1.</w:t>
      </w:r>
      <w:r>
        <w:rPr>
          <w:rFonts w:hint="eastAsia" w:ascii="仿宋" w:hAnsi="仿宋" w:eastAsia="仿宋" w:cs="仿宋"/>
          <w:b/>
          <w:sz w:val="28"/>
          <w:highlight w:val="none"/>
          <w:lang w:val="en-US" w:eastAsia="zh-CN"/>
        </w:rPr>
        <w:t>标的情况</w:t>
      </w:r>
    </w:p>
    <w:p w14:paraId="3B3848B7">
      <w:pPr>
        <w:pStyle w:val="9"/>
        <w:jc w:val="left"/>
        <w:outlineLvl w:val="9"/>
        <w:rPr>
          <w:rFonts w:hint="eastAsia" w:ascii="仿宋" w:hAnsi="仿宋" w:eastAsia="仿宋" w:cs="仿宋"/>
          <w:b/>
          <w:bCs/>
          <w:i w:val="0"/>
          <w:iCs w:val="0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/>
          <w:bCs/>
          <w:i w:val="0"/>
          <w:iCs w:val="0"/>
          <w:sz w:val="24"/>
          <w:szCs w:val="24"/>
          <w:highlight w:val="none"/>
        </w:rPr>
        <w:t>采购包1：</w:t>
      </w:r>
    </w:p>
    <w:tbl>
      <w:tblPr>
        <w:tblStyle w:val="5"/>
        <w:tblW w:w="8903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836"/>
        <w:gridCol w:w="832"/>
        <w:gridCol w:w="4017"/>
        <w:gridCol w:w="3218"/>
      </w:tblGrid>
      <w:tr w14:paraId="5D1C82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2" w:hRule="atLeast"/>
        </w:trPr>
        <w:tc>
          <w:tcPr>
            <w:tcW w:w="83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noWrap w:val="0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110A2B67"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包号</w:t>
            </w:r>
          </w:p>
        </w:tc>
        <w:tc>
          <w:tcPr>
            <w:tcW w:w="832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noWrap w:val="0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00B25610"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编号</w:t>
            </w:r>
          </w:p>
        </w:tc>
        <w:tc>
          <w:tcPr>
            <w:tcW w:w="401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noWrap w:val="0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1C592B3B"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标的名称</w:t>
            </w:r>
          </w:p>
        </w:tc>
        <w:tc>
          <w:tcPr>
            <w:tcW w:w="3218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auto"/>
            <w:noWrap w:val="0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0C3E3F45"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最高限价（元）</w:t>
            </w:r>
          </w:p>
        </w:tc>
      </w:tr>
      <w:tr w14:paraId="2B9991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8" w:hRule="atLeast"/>
        </w:trPr>
        <w:tc>
          <w:tcPr>
            <w:tcW w:w="83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noWrap w:val="0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4468D12C"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2"/>
                <w:szCs w:val="22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2"/>
                <w:szCs w:val="22"/>
                <w:highlight w:val="none"/>
                <w:shd w:val="clear" w:color="auto" w:fill="auto"/>
                <w:lang w:val="en-US" w:eastAsia="zh-CN"/>
              </w:rPr>
              <w:t>1</w:t>
            </w:r>
          </w:p>
        </w:tc>
        <w:tc>
          <w:tcPr>
            <w:tcW w:w="832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noWrap w:val="0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60AB344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2"/>
                <w:szCs w:val="22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401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noWrap w:val="0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6BB6BC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两区安全技术防范系统维护保养服务</w:t>
            </w:r>
          </w:p>
        </w:tc>
        <w:tc>
          <w:tcPr>
            <w:tcW w:w="3218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noWrap w:val="0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077111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290000.00/年</w:t>
            </w:r>
          </w:p>
        </w:tc>
      </w:tr>
    </w:tbl>
    <w:p w14:paraId="6DA48F37">
      <w:pPr>
        <w:pStyle w:val="9"/>
        <w:jc w:val="left"/>
        <w:outlineLvl w:val="1"/>
        <w:rPr>
          <w:rFonts w:hint="eastAsia" w:ascii="仿宋" w:hAnsi="仿宋" w:eastAsia="仿宋" w:cs="仿宋"/>
          <w:b/>
          <w:sz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sz w:val="28"/>
          <w:highlight w:val="none"/>
        </w:rPr>
        <w:t>3.2.</w:t>
      </w:r>
      <w:r>
        <w:rPr>
          <w:rFonts w:hint="eastAsia" w:ascii="仿宋" w:hAnsi="仿宋" w:eastAsia="仿宋" w:cs="仿宋"/>
          <w:b/>
          <w:sz w:val="28"/>
          <w:highlight w:val="none"/>
          <w:lang w:val="en-US" w:eastAsia="zh-CN"/>
        </w:rPr>
        <w:t>技术要求</w:t>
      </w:r>
    </w:p>
    <w:p w14:paraId="1EDDFF21">
      <w:pPr>
        <w:pStyle w:val="2"/>
        <w:snapToGrid w:val="0"/>
        <w:spacing w:line="360" w:lineRule="auto"/>
        <w:outlineLvl w:val="9"/>
        <w:rPr>
          <w:rFonts w:hint="eastAsia" w:ascii="仿宋" w:hAnsi="仿宋" w:eastAsia="仿宋" w:cs="仿宋"/>
          <w:b/>
          <w:bCs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★</w:t>
      </w:r>
      <w:r>
        <w:rPr>
          <w:rFonts w:hint="eastAsia" w:ascii="仿宋" w:hAnsi="仿宋" w:eastAsia="仿宋" w:cs="仿宋"/>
          <w:b/>
          <w:bCs/>
          <w:sz w:val="24"/>
          <w:szCs w:val="24"/>
        </w:rPr>
        <w:t>一、维护范围：</w:t>
      </w:r>
    </w:p>
    <w:p w14:paraId="46B6B213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36" w:lineRule="auto"/>
        <w:ind w:firstLine="480" w:firstLineChars="200"/>
        <w:textAlignment w:val="auto"/>
        <w:outlineLvl w:val="9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本次采购维护范围包括内江市第一人民医院新区、城南病区两个院区的安全技术防范系统及其包含的子系统，具体包括综合监控平台、视频监控系统、入侵报警系统、安检门、门禁系统、一键应急报警系统、视频存储系统及其对应的相关网络传输构架。具体包含视频监控前端点位1160个、门禁点位120个、一键报警点位86个、入侵报警点位20个、微计量X射线安检机4台、安检门8扇、系统服务器1套、存储服务器4台、硬盘录像机23台</w:t>
      </w:r>
      <w:r>
        <w:rPr>
          <w:rFonts w:hint="eastAsia" w:ascii="仿宋" w:hAnsi="仿宋" w:eastAsia="仿宋" w:cs="仿宋"/>
          <w:sz w:val="24"/>
          <w:szCs w:val="24"/>
        </w:rPr>
        <w:t>。</w:t>
      </w:r>
    </w:p>
    <w:p w14:paraId="5661AA0D">
      <w:pPr>
        <w:snapToGrid w:val="0"/>
        <w:spacing w:line="360" w:lineRule="auto"/>
        <w:outlineLvl w:val="9"/>
        <w:rPr>
          <w:rFonts w:hint="eastAsia" w:ascii="仿宋" w:hAnsi="仿宋" w:eastAsia="仿宋" w:cs="仿宋"/>
          <w:b/>
          <w:bCs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z w:val="24"/>
          <w:szCs w:val="24"/>
        </w:rPr>
        <w:t>二、服务内容：</w:t>
      </w:r>
    </w:p>
    <w:p w14:paraId="22DEFF3A">
      <w:pPr>
        <w:pStyle w:val="2"/>
        <w:snapToGrid w:val="0"/>
        <w:spacing w:line="360" w:lineRule="auto"/>
        <w:rPr>
          <w:rFonts w:hint="eastAsia"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1、保障1160个高清视频监控点位设备的正常运行。</w:t>
      </w:r>
    </w:p>
    <w:p w14:paraId="1EE2C4EE">
      <w:pPr>
        <w:snapToGrid w:val="0"/>
        <w:spacing w:line="360" w:lineRule="auto"/>
        <w:rPr>
          <w:rFonts w:hint="eastAsia"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2、保障1160个高清视频监控点位传输线路及交换设备的正常运行。</w:t>
      </w:r>
    </w:p>
    <w:p w14:paraId="4A5339F6">
      <w:pPr>
        <w:snapToGrid w:val="0"/>
        <w:spacing w:line="360" w:lineRule="auto"/>
        <w:rPr>
          <w:rFonts w:hint="eastAsia"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3、保障平台软件的正常运行。</w:t>
      </w:r>
    </w:p>
    <w:p w14:paraId="484906D4">
      <w:pPr>
        <w:snapToGrid w:val="0"/>
        <w:spacing w:line="360" w:lineRule="auto"/>
        <w:rPr>
          <w:rFonts w:hint="eastAsia"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4、保障医院两个监控中心的正常运行，包含显示设备、服务器、解码器、网络传输设备、存储设备、与监控视频相关的电力设备及各类应用软件的正常运行。</w:t>
      </w:r>
    </w:p>
    <w:p w14:paraId="0B05DCE8">
      <w:pPr>
        <w:pStyle w:val="2"/>
        <w:snapToGrid w:val="0"/>
        <w:spacing w:line="360" w:lineRule="auto"/>
        <w:rPr>
          <w:rFonts w:hint="eastAsia"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5、保障医院各权限管理人员接入监控网络对1160个高清视频监控点位预览及回放等功能的正常使用。</w:t>
      </w:r>
      <w:r>
        <w:rPr>
          <w:rFonts w:ascii="仿宋" w:hAnsi="仿宋" w:eastAsia="仿宋"/>
          <w:sz w:val="24"/>
          <w:szCs w:val="24"/>
        </w:rPr>
        <w:t xml:space="preserve"> </w:t>
      </w:r>
    </w:p>
    <w:p w14:paraId="70D32DAB">
      <w:pPr>
        <w:snapToGrid w:val="0"/>
        <w:spacing w:line="360" w:lineRule="auto"/>
        <w:rPr>
          <w:rFonts w:hint="eastAsia"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6、保障医院120个门禁点位的正常运行，配合医院管理人员及时调整人员权限。</w:t>
      </w:r>
    </w:p>
    <w:p w14:paraId="45B55F9D">
      <w:pPr>
        <w:snapToGrid w:val="0"/>
        <w:spacing w:line="360" w:lineRule="auto"/>
        <w:rPr>
          <w:rFonts w:hint="eastAsia"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7、保障医院一键报警点位86个、入侵报警点位20个及连接公安机关应急报警设备的正常运行。</w:t>
      </w:r>
    </w:p>
    <w:p w14:paraId="654FF4EC">
      <w:pPr>
        <w:pStyle w:val="2"/>
        <w:snapToGrid w:val="0"/>
        <w:spacing w:line="360" w:lineRule="auto"/>
        <w:rPr>
          <w:rFonts w:hint="eastAsia"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8、提供外联设备的网络安全建议及风险提示。</w:t>
      </w:r>
    </w:p>
    <w:p w14:paraId="1056A646">
      <w:pPr>
        <w:snapToGrid w:val="0"/>
        <w:spacing w:line="360" w:lineRule="auto"/>
        <w:rPr>
          <w:rFonts w:hint="eastAsia"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9、保障微计量X射线安检机、安检门的正常运行。</w:t>
      </w:r>
    </w:p>
    <w:p w14:paraId="279B5B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36" w:lineRule="auto"/>
        <w:textAlignment w:val="auto"/>
        <w:outlineLvl w:val="9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/>
          <w:sz w:val="24"/>
        </w:rPr>
        <w:t>10、保障系统服务器、存储服务器、硬盘录像机的正常运行</w:t>
      </w:r>
      <w:r>
        <w:rPr>
          <w:rFonts w:hint="eastAsia" w:ascii="仿宋" w:hAnsi="仿宋" w:eastAsia="仿宋" w:cs="仿宋"/>
          <w:sz w:val="24"/>
        </w:rPr>
        <w:t>。</w:t>
      </w:r>
    </w:p>
    <w:p w14:paraId="4F1724ED">
      <w:pPr>
        <w:snapToGrid w:val="0"/>
        <w:spacing w:line="360" w:lineRule="auto"/>
        <w:outlineLvl w:val="9"/>
        <w:rPr>
          <w:rFonts w:hint="eastAsia" w:ascii="仿宋" w:hAnsi="仿宋" w:eastAsia="仿宋" w:cs="仿宋"/>
          <w:b/>
          <w:bCs/>
          <w:sz w:val="24"/>
        </w:rPr>
      </w:pPr>
      <w:r>
        <w:rPr>
          <w:rFonts w:hint="eastAsia" w:ascii="仿宋" w:hAnsi="仿宋" w:eastAsia="仿宋" w:cs="仿宋"/>
          <w:b/>
          <w:bCs/>
          <w:sz w:val="24"/>
        </w:rPr>
        <w:t>三、服务要求：</w:t>
      </w:r>
    </w:p>
    <w:p w14:paraId="4A2B6688">
      <w:pPr>
        <w:snapToGrid w:val="0"/>
        <w:spacing w:line="360" w:lineRule="auto"/>
        <w:rPr>
          <w:rFonts w:hint="eastAsia"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1、</w:t>
      </w:r>
      <w:r>
        <w:rPr>
          <w:rFonts w:ascii="仿宋" w:hAnsi="仿宋" w:eastAsia="仿宋"/>
          <w:sz w:val="24"/>
        </w:rPr>
        <w:t>供应商须建立可靠、有效的工作制度，包括巡检、清洁、检测、查障、排障、更换、升级、优化等方面工作</w:t>
      </w:r>
      <w:r>
        <w:rPr>
          <w:rFonts w:hint="eastAsia" w:ascii="仿宋" w:hAnsi="仿宋" w:eastAsia="仿宋"/>
          <w:sz w:val="24"/>
        </w:rPr>
        <w:t>。</w:t>
      </w:r>
    </w:p>
    <w:p w14:paraId="0F161BB0">
      <w:pPr>
        <w:snapToGrid w:val="0"/>
        <w:spacing w:line="360" w:lineRule="auto"/>
        <w:rPr>
          <w:rFonts w:hint="eastAsia"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2、</w:t>
      </w:r>
      <w:r>
        <w:rPr>
          <w:rFonts w:ascii="仿宋" w:hAnsi="仿宋" w:eastAsia="仿宋"/>
          <w:sz w:val="24"/>
        </w:rPr>
        <w:t>供应商应保障每年 12 次即每个月 1 次对系统所有设备进行巡检</w:t>
      </w:r>
      <w:r>
        <w:rPr>
          <w:rFonts w:hint="eastAsia" w:ascii="仿宋" w:hAnsi="仿宋" w:eastAsia="仿宋"/>
          <w:sz w:val="24"/>
        </w:rPr>
        <w:t>。</w:t>
      </w:r>
    </w:p>
    <w:p w14:paraId="5CB3510C">
      <w:pPr>
        <w:snapToGrid w:val="0"/>
        <w:spacing w:line="360" w:lineRule="auto"/>
        <w:rPr>
          <w:rFonts w:hint="eastAsia"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3、</w:t>
      </w:r>
      <w:r>
        <w:rPr>
          <w:rFonts w:ascii="仿宋" w:hAnsi="仿宋" w:eastAsia="仿宋"/>
          <w:sz w:val="24"/>
        </w:rPr>
        <w:t>供应商须保证全天候 7*24 小时响应</w:t>
      </w:r>
      <w:r>
        <w:rPr>
          <w:rFonts w:hint="eastAsia" w:ascii="仿宋" w:hAnsi="仿宋" w:eastAsia="仿宋"/>
          <w:sz w:val="24"/>
        </w:rPr>
        <w:t>，</w:t>
      </w:r>
      <w:r>
        <w:rPr>
          <w:rFonts w:ascii="仿宋" w:hAnsi="仿宋" w:eastAsia="仿宋"/>
          <w:sz w:val="24"/>
        </w:rPr>
        <w:t>故障电话响应时间不超过</w:t>
      </w:r>
      <w:r>
        <w:rPr>
          <w:rFonts w:hint="eastAsia" w:ascii="仿宋" w:hAnsi="仿宋" w:eastAsia="仿宋"/>
          <w:sz w:val="24"/>
        </w:rPr>
        <w:t>30</w:t>
      </w:r>
      <w:r>
        <w:rPr>
          <w:rFonts w:ascii="仿宋" w:hAnsi="仿宋" w:eastAsia="仿宋"/>
          <w:sz w:val="24"/>
        </w:rPr>
        <w:t>分钟，现场响应时间不超过</w:t>
      </w:r>
      <w:r>
        <w:rPr>
          <w:rFonts w:hint="eastAsia" w:ascii="仿宋" w:hAnsi="仿宋" w:eastAsia="仿宋"/>
          <w:sz w:val="24"/>
        </w:rPr>
        <w:t>4</w:t>
      </w:r>
      <w:r>
        <w:rPr>
          <w:rFonts w:ascii="仿宋" w:hAnsi="仿宋" w:eastAsia="仿宋"/>
          <w:sz w:val="24"/>
        </w:rPr>
        <w:t>小时，从响应到排障，时间不能超过 24 小时</w:t>
      </w:r>
      <w:r>
        <w:rPr>
          <w:rFonts w:hint="eastAsia" w:ascii="仿宋" w:hAnsi="仿宋" w:eastAsia="仿宋"/>
          <w:sz w:val="24"/>
        </w:rPr>
        <w:t>。</w:t>
      </w:r>
    </w:p>
    <w:p w14:paraId="05C6F13F">
      <w:pPr>
        <w:pStyle w:val="2"/>
        <w:snapToGrid w:val="0"/>
        <w:spacing w:line="360" w:lineRule="auto"/>
        <w:rPr>
          <w:rFonts w:hint="eastAsia" w:ascii="仿宋" w:hAnsi="仿宋" w:eastAsia="仿宋"/>
          <w:sz w:val="24"/>
        </w:rPr>
      </w:pPr>
      <w:r>
        <w:rPr>
          <w:rFonts w:hint="eastAsia" w:ascii="仿宋" w:hAnsi="仿宋" w:eastAsia="仿宋"/>
          <w:sz w:val="24"/>
          <w:szCs w:val="24"/>
        </w:rPr>
        <w:t>4、</w:t>
      </w:r>
      <w:r>
        <w:rPr>
          <w:rFonts w:ascii="仿宋" w:hAnsi="仿宋" w:eastAsia="仿宋"/>
          <w:sz w:val="24"/>
        </w:rPr>
        <w:t>供应商须配置必要的物力资源，包括 7*24 小时响应的服务电话，专业的服务</w:t>
      </w:r>
      <w:r>
        <w:rPr>
          <w:rFonts w:ascii="仿宋" w:hAnsi="仿宋" w:eastAsia="仿宋"/>
          <w:sz w:val="24"/>
          <w:szCs w:val="24"/>
        </w:rPr>
        <w:t>车辆</w:t>
      </w:r>
      <w:r>
        <w:rPr>
          <w:rFonts w:ascii="仿宋" w:hAnsi="仿宋" w:eastAsia="仿宋"/>
          <w:sz w:val="24"/>
        </w:rPr>
        <w:t>及工器具等</w:t>
      </w:r>
      <w:r>
        <w:rPr>
          <w:rFonts w:hint="eastAsia" w:ascii="仿宋" w:hAnsi="仿宋" w:eastAsia="仿宋"/>
          <w:sz w:val="24"/>
        </w:rPr>
        <w:t>。</w:t>
      </w:r>
    </w:p>
    <w:p w14:paraId="7C63D69B">
      <w:pPr>
        <w:pStyle w:val="2"/>
        <w:snapToGrid w:val="0"/>
        <w:spacing w:line="360" w:lineRule="auto"/>
        <w:rPr>
          <w:rFonts w:hint="eastAsia"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5、</w:t>
      </w:r>
      <w:r>
        <w:rPr>
          <w:rFonts w:ascii="仿宋" w:hAnsi="仿宋" w:eastAsia="仿宋"/>
          <w:sz w:val="24"/>
        </w:rPr>
        <w:t>从业人员，其中现场人员须具有电工证等，保证持证上岗</w:t>
      </w:r>
      <w:r>
        <w:rPr>
          <w:rFonts w:hint="eastAsia" w:ascii="仿宋" w:hAnsi="仿宋" w:eastAsia="仿宋"/>
          <w:sz w:val="24"/>
        </w:rPr>
        <w:t>。</w:t>
      </w:r>
    </w:p>
    <w:p w14:paraId="1DDDEEBF">
      <w:pPr>
        <w:pStyle w:val="9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336" w:lineRule="auto"/>
        <w:jc w:val="left"/>
        <w:textAlignment w:val="auto"/>
        <w:outlineLvl w:val="9"/>
        <w:rPr>
          <w:rFonts w:hint="eastAsia" w:ascii="仿宋" w:hAnsi="仿宋" w:eastAsia="仿宋" w:cs="仿宋"/>
          <w:sz w:val="24"/>
          <w:lang w:eastAsia="zh-CN"/>
        </w:rPr>
      </w:pPr>
      <w:r>
        <w:rPr>
          <w:rFonts w:hint="eastAsia" w:ascii="仿宋" w:hAnsi="仿宋" w:eastAsia="仿宋"/>
          <w:sz w:val="24"/>
        </w:rPr>
        <w:t>6、</w:t>
      </w:r>
      <w:r>
        <w:rPr>
          <w:rFonts w:ascii="仿宋" w:hAnsi="仿宋" w:eastAsia="仿宋"/>
          <w:sz w:val="24"/>
        </w:rPr>
        <w:t>供应商应提供必要的系统操作、运行等相关培训</w:t>
      </w:r>
      <w:r>
        <w:rPr>
          <w:rFonts w:hint="eastAsia" w:ascii="仿宋" w:hAnsi="仿宋" w:eastAsia="仿宋" w:cs="仿宋"/>
          <w:sz w:val="24"/>
          <w:lang w:eastAsia="zh-CN"/>
        </w:rPr>
        <w:t>。</w:t>
      </w:r>
    </w:p>
    <w:p w14:paraId="43BD400F">
      <w:pPr>
        <w:snapToGrid w:val="0"/>
        <w:spacing w:line="400" w:lineRule="exact"/>
        <w:jc w:val="left"/>
        <w:outlineLvl w:val="9"/>
        <w:rPr>
          <w:rFonts w:hint="eastAsia" w:ascii="仿宋" w:hAnsi="仿宋" w:eastAsia="仿宋" w:cs="仿宋"/>
          <w:b/>
          <w:bCs/>
          <w:sz w:val="24"/>
          <w:lang w:eastAsia="zh-CN"/>
        </w:rPr>
      </w:pPr>
      <w:r>
        <w:rPr>
          <w:rFonts w:hint="eastAsia" w:ascii="仿宋" w:hAnsi="仿宋" w:eastAsia="仿宋" w:cs="仿宋"/>
          <w:b/>
          <w:bCs/>
          <w:sz w:val="24"/>
          <w:lang w:eastAsia="zh-CN"/>
        </w:rPr>
        <w:t>四、服务方式：</w:t>
      </w:r>
    </w:p>
    <w:p w14:paraId="3557FA34">
      <w:pPr>
        <w:pStyle w:val="2"/>
        <w:ind w:firstLine="480" w:firstLineChars="200"/>
        <w:outlineLvl w:val="9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本服务以半包形式进行，乙方应及时对系统设施设备故障进行排除、维修或更换；以及对非人为因素造成的设施设备及配件、附件等更换，每月更换金额累计1000元内（含1000元）由乙方负责更换，超过1000元以上的部分由甲方负责，更换配件前应经甲方同意后乙方方可更换。</w:t>
      </w:r>
    </w:p>
    <w:p w14:paraId="5809B4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right="0"/>
        <w:jc w:val="left"/>
        <w:textAlignment w:val="auto"/>
        <w:outlineLvl w:val="1"/>
        <w:rPr>
          <w:rFonts w:hint="eastAsia" w:ascii="仿宋" w:hAnsi="仿宋" w:eastAsia="仿宋" w:cs="仿宋"/>
          <w:b/>
          <w:bCs/>
          <w:sz w:val="22"/>
          <w:szCs w:val="22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kern w:val="0"/>
          <w:sz w:val="28"/>
          <w:szCs w:val="28"/>
          <w:highlight w:val="none"/>
          <w:lang w:val="en-US" w:eastAsia="zh-CN"/>
        </w:rPr>
        <w:t>3.3.商务要求</w:t>
      </w:r>
    </w:p>
    <w:p w14:paraId="1B82BD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仿宋" w:hAnsi="仿宋" w:eastAsia="仿宋" w:cs="仿宋"/>
          <w:b/>
          <w:bCs/>
          <w:sz w:val="24"/>
        </w:rPr>
      </w:pPr>
      <w:r>
        <w:rPr>
          <w:rFonts w:hint="eastAsia" w:ascii="仿宋" w:hAnsi="仿宋" w:eastAsia="仿宋" w:cs="仿宋"/>
          <w:b/>
          <w:bCs/>
          <w:sz w:val="24"/>
        </w:rPr>
        <w:t>★一、服务年限：</w:t>
      </w:r>
    </w:p>
    <w:p w14:paraId="70D01F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本次采购服务期限为2年，合同1年1签。</w:t>
      </w:r>
    </w:p>
    <w:p w14:paraId="42383548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仿宋" w:hAnsi="仿宋" w:eastAsia="仿宋" w:cs="仿宋"/>
          <w:b/>
          <w:bCs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z w:val="24"/>
        </w:rPr>
        <w:t>★</w:t>
      </w:r>
      <w:r>
        <w:rPr>
          <w:rFonts w:hint="eastAsia" w:ascii="仿宋" w:hAnsi="仿宋" w:eastAsia="仿宋" w:cs="仿宋"/>
          <w:b/>
          <w:bCs/>
          <w:sz w:val="24"/>
          <w:szCs w:val="24"/>
        </w:rPr>
        <w:t>二、服务费支付：</w:t>
      </w:r>
    </w:p>
    <w:p w14:paraId="2D854C7E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仿宋" w:hAnsi="仿宋" w:eastAsia="仿宋" w:cs="仿宋"/>
        </w:rPr>
      </w:pPr>
      <w:r>
        <w:rPr>
          <w:rFonts w:hint="eastAsia" w:ascii="Times New Roman" w:hAnsi="Times New Roman" w:eastAsia="仿宋"/>
          <w:sz w:val="24"/>
          <w:szCs w:val="24"/>
        </w:rPr>
        <w:t>供应商签订合同后采购人按照合同金额每</w:t>
      </w:r>
      <w:r>
        <w:rPr>
          <w:rFonts w:hint="eastAsia" w:ascii="Times New Roman" w:hAnsi="Times New Roman" w:eastAsia="仿宋"/>
          <w:sz w:val="24"/>
          <w:szCs w:val="24"/>
          <w:lang w:eastAsia="zh-CN"/>
        </w:rPr>
        <w:t>季度</w:t>
      </w:r>
      <w:r>
        <w:rPr>
          <w:rFonts w:hint="eastAsia" w:ascii="Times New Roman" w:hAnsi="Times New Roman" w:eastAsia="仿宋"/>
          <w:sz w:val="24"/>
          <w:szCs w:val="24"/>
        </w:rPr>
        <w:t>支付一次服务费。</w:t>
      </w:r>
      <w:r>
        <w:rPr>
          <w:rFonts w:hint="eastAsia" w:ascii="仿宋" w:hAnsi="仿宋" w:eastAsia="仿宋" w:cs="仿宋"/>
          <w:sz w:val="24"/>
          <w:szCs w:val="24"/>
        </w:rPr>
        <w:t>。</w:t>
      </w:r>
    </w:p>
    <w:p w14:paraId="6FE814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仿宋" w:hAnsi="仿宋" w:eastAsia="仿宋" w:cs="仿宋"/>
          <w:b/>
          <w:bCs/>
          <w:sz w:val="24"/>
        </w:rPr>
      </w:pPr>
      <w:r>
        <w:rPr>
          <w:rFonts w:hint="eastAsia" w:ascii="仿宋" w:hAnsi="仿宋" w:eastAsia="仿宋" w:cs="仿宋"/>
          <w:b/>
          <w:bCs/>
          <w:sz w:val="24"/>
          <w:lang w:val="en-US" w:eastAsia="zh-CN"/>
        </w:rPr>
        <w:t>三</w:t>
      </w:r>
      <w:r>
        <w:rPr>
          <w:rFonts w:hint="eastAsia" w:ascii="仿宋" w:hAnsi="仿宋" w:eastAsia="仿宋" w:cs="仿宋"/>
          <w:b/>
          <w:bCs/>
          <w:sz w:val="24"/>
        </w:rPr>
        <w:t>、其他要求：</w:t>
      </w:r>
    </w:p>
    <w:p w14:paraId="69DC71CB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="仿宋" w:hAnsi="仿宋" w:eastAsia="仿宋"/>
          <w:sz w:val="24"/>
        </w:rPr>
      </w:pPr>
      <w:r>
        <w:rPr>
          <w:rFonts w:hint="eastAsia" w:ascii="仿宋" w:hAnsi="仿宋" w:eastAsia="仿宋"/>
          <w:sz w:val="24"/>
          <w:szCs w:val="24"/>
        </w:rPr>
        <w:t>1、供应商报价应包含</w:t>
      </w:r>
      <w:r>
        <w:rPr>
          <w:rFonts w:ascii="仿宋" w:hAnsi="仿宋" w:eastAsia="仿宋"/>
          <w:sz w:val="24"/>
        </w:rPr>
        <w:t>报价包含人工费、调试费、安全保险费、各项税费、培训费、维护费等所有费用。</w:t>
      </w:r>
      <w:r>
        <w:rPr>
          <w:rFonts w:hint="eastAsia" w:ascii="仿宋" w:hAnsi="仿宋" w:eastAsia="仿宋"/>
          <w:sz w:val="24"/>
        </w:rPr>
        <w:t>但不含服务器硬件更换或整体更换费用、存储服务器磁盘费用、前端设备更新费用、核心传输设备的更新及扩容费用。</w:t>
      </w:r>
    </w:p>
    <w:p w14:paraId="7A1989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/>
          <w:sz w:val="24"/>
        </w:rPr>
        <w:t>▲2、</w:t>
      </w:r>
      <w:r>
        <w:rPr>
          <w:rFonts w:ascii="仿宋" w:hAnsi="仿宋" w:eastAsia="仿宋"/>
          <w:sz w:val="24"/>
        </w:rPr>
        <w:t>供应商在服务期限内需更换相关设备配置须不低于</w:t>
      </w:r>
      <w:r>
        <w:rPr>
          <w:rFonts w:hint="eastAsia" w:ascii="仿宋" w:hAnsi="仿宋" w:eastAsia="仿宋"/>
          <w:sz w:val="24"/>
        </w:rPr>
        <w:t>原有设备</w:t>
      </w:r>
      <w:r>
        <w:rPr>
          <w:rFonts w:hint="eastAsia" w:ascii="仿宋" w:hAnsi="仿宋" w:eastAsia="仿宋"/>
          <w:sz w:val="24"/>
          <w:lang w:eastAsia="zh-Hans"/>
        </w:rPr>
        <w:t>的</w:t>
      </w:r>
      <w:r>
        <w:rPr>
          <w:rFonts w:ascii="仿宋" w:hAnsi="仿宋" w:eastAsia="仿宋"/>
          <w:sz w:val="24"/>
        </w:rPr>
        <w:t>技术参数要求，并在现场</w:t>
      </w:r>
      <w:r>
        <w:rPr>
          <w:rFonts w:hint="eastAsia" w:ascii="仿宋" w:hAnsi="仿宋" w:eastAsia="仿宋"/>
          <w:sz w:val="24"/>
        </w:rPr>
        <w:t>查勘</w:t>
      </w:r>
      <w:r>
        <w:rPr>
          <w:rFonts w:ascii="仿宋" w:hAnsi="仿宋" w:eastAsia="仿宋"/>
          <w:sz w:val="24"/>
        </w:rPr>
        <w:t>时充分调研用户现有系统配置，确保拟提供</w:t>
      </w:r>
      <w:r>
        <w:rPr>
          <w:rFonts w:hint="eastAsia" w:ascii="仿宋" w:hAnsi="仿宋" w:eastAsia="仿宋"/>
          <w:sz w:val="24"/>
          <w:lang w:eastAsia="zh-Hans"/>
        </w:rPr>
        <w:t>的</w:t>
      </w:r>
      <w:r>
        <w:rPr>
          <w:rFonts w:ascii="仿宋" w:hAnsi="仿宋" w:eastAsia="仿宋"/>
          <w:sz w:val="24"/>
        </w:rPr>
        <w:t>软、硬件与现有系统无缝兼容，否则造成的一切损失由供应商承担（需提供摄像机生产厂家售后服务承诺书原件并加盖鲜章）</w:t>
      </w:r>
      <w:r>
        <w:rPr>
          <w:rFonts w:hint="eastAsia" w:ascii="仿宋" w:hAnsi="仿宋" w:eastAsia="仿宋" w:cs="仿宋"/>
          <w:sz w:val="24"/>
        </w:rPr>
        <w:t>。</w:t>
      </w:r>
    </w:p>
    <w:p w14:paraId="27ED95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right="0"/>
        <w:jc w:val="left"/>
        <w:textAlignment w:val="auto"/>
        <w:outlineLvl w:val="1"/>
        <w:rPr>
          <w:rFonts w:hint="default" w:ascii="仿宋" w:hAnsi="仿宋" w:eastAsia="仿宋" w:cs="仿宋"/>
          <w:b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4"/>
        </w:rPr>
        <w:t>★</w:t>
      </w:r>
      <w:r>
        <w:rPr>
          <w:rFonts w:hint="eastAsia" w:ascii="仿宋" w:hAnsi="仿宋" w:eastAsia="仿宋" w:cs="仿宋"/>
          <w:b/>
          <w:kern w:val="0"/>
          <w:sz w:val="28"/>
          <w:szCs w:val="28"/>
          <w:highlight w:val="none"/>
          <w:lang w:val="en-US" w:eastAsia="zh-CN"/>
        </w:rPr>
        <w:t>3.4.考核</w:t>
      </w:r>
    </w:p>
    <w:p w14:paraId="208371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atLeast"/>
        <w:textAlignment w:val="auto"/>
        <w:rPr>
          <w:rFonts w:hint="eastAsia" w:ascii="仿宋" w:hAnsi="仿宋" w:eastAsia="仿宋" w:cs="仿宋"/>
          <w:b/>
          <w:bCs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lang w:eastAsia="zh-CN"/>
        </w:rPr>
        <w:t>一、</w:t>
      </w:r>
      <w:r>
        <w:rPr>
          <w:rFonts w:hint="eastAsia" w:ascii="仿宋" w:hAnsi="仿宋" w:eastAsia="仿宋" w:cs="仿宋"/>
          <w:b/>
          <w:bCs/>
          <w:sz w:val="24"/>
          <w:szCs w:val="24"/>
        </w:rPr>
        <w:t>考核目的</w:t>
      </w:r>
    </w:p>
    <w:p w14:paraId="4545E1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atLeast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为确保医院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两院区安全技术防范系统</w:t>
      </w:r>
      <w:r>
        <w:rPr>
          <w:rFonts w:hint="eastAsia" w:ascii="仿宋" w:hAnsi="仿宋" w:eastAsia="仿宋" w:cs="仿宋"/>
          <w:sz w:val="24"/>
          <w:szCs w:val="24"/>
        </w:rPr>
        <w:t>安全稳定运行，提高维护人员责任意识，保障医院公共安全和医疗秩序，特制定本考核办法。</w:t>
      </w:r>
    </w:p>
    <w:p w14:paraId="6C3307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atLeast"/>
        <w:textAlignment w:val="auto"/>
        <w:rPr>
          <w:rFonts w:hint="eastAsia" w:ascii="仿宋" w:hAnsi="仿宋" w:eastAsia="仿宋" w:cs="仿宋"/>
          <w:b/>
          <w:bCs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z w:val="24"/>
          <w:szCs w:val="24"/>
        </w:rPr>
        <w:t>二、考核对象</w:t>
      </w:r>
    </w:p>
    <w:p w14:paraId="762F2B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atLeast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中标供应商</w:t>
      </w:r>
    </w:p>
    <w:p w14:paraId="530FA8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atLeast"/>
        <w:textAlignment w:val="auto"/>
        <w:rPr>
          <w:rFonts w:hint="eastAsia" w:ascii="仿宋" w:hAnsi="仿宋" w:eastAsia="仿宋" w:cs="仿宋"/>
          <w:b/>
          <w:bCs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z w:val="24"/>
          <w:szCs w:val="24"/>
        </w:rPr>
        <w:t>三、考核内容及标准</w:t>
      </w:r>
    </w:p>
    <w:p w14:paraId="5C730B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atLeast"/>
        <w:textAlignment w:val="auto"/>
        <w:rPr>
          <w:rFonts w:hint="eastAsia" w:ascii="仿宋" w:hAnsi="仿宋" w:eastAsia="仿宋" w:cs="仿宋"/>
          <w:b w:val="0"/>
          <w:bCs w:val="0"/>
          <w:sz w:val="24"/>
          <w:szCs w:val="24"/>
        </w:rPr>
      </w:pPr>
      <w: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t>1、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</w:rPr>
        <w:t>设备运行状态（40分）</w:t>
      </w:r>
    </w:p>
    <w:p w14:paraId="49DDD8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atLeast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val="en-US"/>
        </w:rPr>
        <w:t>1.</w:t>
      </w:r>
      <w:r>
        <w:rPr>
          <w:rFonts w:hint="eastAsia" w:ascii="仿宋" w:hAnsi="仿宋" w:eastAsia="仿宋" w:cs="仿宋"/>
          <w:sz w:val="24"/>
          <w:szCs w:val="24"/>
        </w:rPr>
        <w:t>监控设备完好率≥95%（每降低1%扣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1</w:t>
      </w:r>
      <w:r>
        <w:rPr>
          <w:rFonts w:hint="eastAsia" w:ascii="仿宋" w:hAnsi="仿宋" w:eastAsia="仿宋" w:cs="仿宋"/>
          <w:sz w:val="24"/>
          <w:szCs w:val="24"/>
        </w:rPr>
        <w:t>分）</w:t>
      </w:r>
    </w:p>
    <w:p w14:paraId="6A58C4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atLeast"/>
        <w:ind w:left="479" w:leftChars="228" w:firstLine="0" w:firstLineChars="0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olor w:val="auto"/>
          <w:kern w:val="0"/>
          <w:sz w:val="24"/>
          <w:szCs w:val="24"/>
          <w:u w:val="none"/>
          <w:lang w:val="en-US" w:eastAsia="zh-CN" w:bidi="ar"/>
        </w:rPr>
        <w:t>2.在接到院方设施设备故障报修通知后，应在60分钟内响应；对不影响系统主要功能的一般故障，应在24小时内修复</w:t>
      </w:r>
      <w:r>
        <w:rPr>
          <w:rFonts w:hint="eastAsia" w:ascii="仿宋" w:hAnsi="仿宋" w:eastAsia="仿宋" w:cs="仿宋"/>
          <w:sz w:val="24"/>
          <w:szCs w:val="24"/>
        </w:rPr>
        <w:t>（每超时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10</w:t>
      </w:r>
      <w:r>
        <w:rPr>
          <w:rFonts w:hint="eastAsia" w:ascii="仿宋" w:hAnsi="仿宋" w:eastAsia="仿宋" w:cs="仿宋"/>
          <w:sz w:val="24"/>
          <w:szCs w:val="24"/>
        </w:rPr>
        <w:t>分钟扣1分）</w:t>
      </w:r>
    </w:p>
    <w:p w14:paraId="10A12F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atLeast"/>
        <w:ind w:left="479" w:leftChars="228" w:firstLine="0" w:firstLineChars="0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olor w:val="auto"/>
          <w:kern w:val="0"/>
          <w:sz w:val="24"/>
          <w:szCs w:val="24"/>
          <w:u w:val="none"/>
          <w:lang w:val="en-US" w:eastAsia="zh-CN" w:bidi="ar"/>
        </w:rPr>
        <w:t>3.对于重大故障或需要停用系统进行维修的，应立即向院方报告，并在提交书面说明或方案的同时，采取有效的临时性安全措施，并明确最终修复时限。未在最终修复时限内完成工作的（一次扣2分）</w:t>
      </w:r>
    </w:p>
    <w:p w14:paraId="0DE3F4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atLeast"/>
        <w:textAlignment w:val="auto"/>
        <w:rPr>
          <w:rFonts w:hint="eastAsia" w:ascii="仿宋" w:hAnsi="仿宋" w:eastAsia="仿宋" w:cs="仿宋"/>
          <w:b w:val="0"/>
          <w:bCs w:val="0"/>
          <w:sz w:val="24"/>
          <w:szCs w:val="24"/>
        </w:rPr>
      </w:pPr>
      <w: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t>2、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</w:rPr>
        <w:t>维护记录完整性（20分）</w:t>
      </w:r>
    </w:p>
    <w:p w14:paraId="629B6B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atLeast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视频监控系统</w:t>
      </w:r>
      <w:r>
        <w:rPr>
          <w:rFonts w:hint="eastAsia" w:ascii="仿宋" w:hAnsi="仿宋" w:eastAsia="仿宋" w:cs="仿宋"/>
          <w:sz w:val="24"/>
          <w:szCs w:val="24"/>
        </w:rPr>
        <w:t>巡检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登记表</w:t>
      </w:r>
      <w:r>
        <w:rPr>
          <w:rFonts w:hint="eastAsia" w:ascii="仿宋" w:hAnsi="仿宋" w:eastAsia="仿宋" w:cs="仿宋"/>
          <w:sz w:val="24"/>
          <w:szCs w:val="24"/>
        </w:rPr>
        <w:t>、维修记录填写完整、及时（每缺1次扣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0.5</w:t>
      </w:r>
      <w:r>
        <w:rPr>
          <w:rFonts w:hint="eastAsia" w:ascii="仿宋" w:hAnsi="仿宋" w:eastAsia="仿宋" w:cs="仿宋"/>
          <w:sz w:val="24"/>
          <w:szCs w:val="24"/>
        </w:rPr>
        <w:t>分）</w:t>
      </w:r>
    </w:p>
    <w:p w14:paraId="018E20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atLeast"/>
        <w:textAlignment w:val="auto"/>
        <w:rPr>
          <w:rFonts w:hint="eastAsia" w:ascii="仿宋" w:hAnsi="仿宋" w:eastAsia="仿宋" w:cs="仿宋"/>
          <w:b w:val="0"/>
          <w:bCs w:val="0"/>
          <w:sz w:val="24"/>
          <w:szCs w:val="24"/>
        </w:rPr>
      </w:pPr>
      <w: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t>3、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</w:rPr>
        <w:t>应急处理能力（20分）</w:t>
      </w:r>
    </w:p>
    <w:p w14:paraId="63489D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atLeast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突发故障（如断电、网络中断）时，2小时内恢复基本功能（每超时1小时扣2分）</w:t>
      </w:r>
    </w:p>
    <w:p w14:paraId="13B8D0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atLeast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重大事件（如医患纠纷、盗窃）中，监控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录像</w:t>
      </w:r>
      <w:r>
        <w:rPr>
          <w:rFonts w:hint="eastAsia" w:ascii="仿宋" w:hAnsi="仿宋" w:eastAsia="仿宋" w:cs="仿宋"/>
          <w:sz w:val="24"/>
          <w:szCs w:val="24"/>
        </w:rPr>
        <w:t>数据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完整率</w:t>
      </w:r>
      <w:r>
        <w:rPr>
          <w:rFonts w:hint="eastAsia" w:ascii="仿宋" w:hAnsi="仿宋" w:eastAsia="仿宋" w:cs="仿宋"/>
          <w:sz w:val="24"/>
          <w:szCs w:val="24"/>
        </w:rPr>
        <w:t>100%（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有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1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个点位不完整</w:t>
      </w:r>
      <w:r>
        <w:rPr>
          <w:rFonts w:hint="eastAsia" w:ascii="仿宋" w:hAnsi="仿宋" w:eastAsia="仿宋" w:cs="仿宋"/>
          <w:sz w:val="24"/>
          <w:szCs w:val="24"/>
        </w:rPr>
        <w:t>扣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2</w:t>
      </w:r>
      <w:r>
        <w:rPr>
          <w:rFonts w:hint="eastAsia" w:ascii="仿宋" w:hAnsi="仿宋" w:eastAsia="仿宋" w:cs="仿宋"/>
          <w:sz w:val="24"/>
          <w:szCs w:val="24"/>
        </w:rPr>
        <w:t>分）</w:t>
      </w:r>
    </w:p>
    <w:p w14:paraId="237C03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atLeast"/>
        <w:textAlignment w:val="auto"/>
        <w:rPr>
          <w:rFonts w:hint="eastAsia" w:ascii="仿宋" w:hAnsi="仿宋" w:eastAsia="仿宋" w:cs="仿宋"/>
          <w:b w:val="0"/>
          <w:bCs w:val="0"/>
          <w:sz w:val="24"/>
          <w:szCs w:val="24"/>
        </w:rPr>
      </w:pPr>
      <w: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t>4、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</w:rPr>
        <w:t>服务质量（20分）</w:t>
      </w:r>
    </w:p>
    <w:p w14:paraId="6EA6B8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atLeast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管理</w:t>
      </w:r>
      <w:r>
        <w:rPr>
          <w:rFonts w:hint="eastAsia" w:ascii="仿宋" w:hAnsi="仿宋" w:eastAsia="仿宋" w:cs="仿宋"/>
          <w:sz w:val="24"/>
          <w:szCs w:val="24"/>
        </w:rPr>
        <w:t>科室对维护服务的满意度≥90%（每降低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5</w:t>
      </w:r>
      <w:r>
        <w:rPr>
          <w:rFonts w:hint="eastAsia" w:ascii="仿宋" w:hAnsi="仿宋" w:eastAsia="仿宋" w:cs="仿宋"/>
          <w:sz w:val="24"/>
          <w:szCs w:val="24"/>
        </w:rPr>
        <w:t>%扣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1</w:t>
      </w:r>
      <w:r>
        <w:rPr>
          <w:rFonts w:hint="eastAsia" w:ascii="仿宋" w:hAnsi="仿宋" w:eastAsia="仿宋" w:cs="仿宋"/>
          <w:sz w:val="24"/>
          <w:szCs w:val="24"/>
        </w:rPr>
        <w:t>分）</w:t>
      </w:r>
    </w:p>
    <w:p w14:paraId="40922F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atLeast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投诉（每1次扣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1</w:t>
      </w:r>
      <w:r>
        <w:rPr>
          <w:rFonts w:hint="eastAsia" w:ascii="仿宋" w:hAnsi="仿宋" w:eastAsia="仿宋" w:cs="仿宋"/>
          <w:sz w:val="24"/>
          <w:szCs w:val="24"/>
        </w:rPr>
        <w:t>分）</w:t>
      </w:r>
    </w:p>
    <w:p w14:paraId="6535AB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atLeast"/>
        <w:textAlignment w:val="auto"/>
        <w:rPr>
          <w:rFonts w:hint="eastAsia" w:ascii="仿宋" w:hAnsi="仿宋" w:eastAsia="仿宋" w:cs="仿宋"/>
          <w:b/>
          <w:bCs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z w:val="24"/>
          <w:szCs w:val="24"/>
        </w:rPr>
        <w:t>四、考核方式</w:t>
      </w:r>
    </w:p>
    <w:p w14:paraId="773DD5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atLeast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日常检查：每月对设备运行状态、维护记录进行抽查。</w:t>
      </w:r>
    </w:p>
    <w:p w14:paraId="4A16BF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atLeast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季度考核：综合设备故障率、应急处理、满意度等指标评分。</w:t>
      </w:r>
    </w:p>
    <w:p w14:paraId="592C3B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atLeast"/>
        <w:textAlignment w:val="auto"/>
        <w:rPr>
          <w:rFonts w:hint="eastAsia" w:ascii="仿宋" w:hAnsi="仿宋" w:eastAsia="仿宋" w:cs="仿宋"/>
          <w:b/>
          <w:bCs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b/>
          <w:bCs/>
          <w:sz w:val="24"/>
          <w:szCs w:val="24"/>
        </w:rPr>
        <w:t>五、考核结果</w:t>
      </w:r>
      <w:r>
        <w:rPr>
          <w:rFonts w:hint="eastAsia" w:ascii="仿宋" w:hAnsi="仿宋" w:eastAsia="仿宋" w:cs="仿宋"/>
          <w:b/>
          <w:bCs/>
          <w:sz w:val="24"/>
          <w:szCs w:val="24"/>
          <w:lang w:eastAsia="zh-CN"/>
        </w:rPr>
        <w:t>为一个季度</w:t>
      </w:r>
    </w:p>
    <w:p w14:paraId="60C2ED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atLeast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优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24"/>
          <w:szCs w:val="24"/>
        </w:rPr>
        <w:t>秀（9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0</w:t>
      </w:r>
      <w:r>
        <w:rPr>
          <w:rFonts w:hint="eastAsia" w:ascii="仿宋" w:hAnsi="仿宋" w:eastAsia="仿宋" w:cs="仿宋"/>
          <w:sz w:val="24"/>
          <w:szCs w:val="24"/>
        </w:rPr>
        <w:t>分以上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，含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90分</w:t>
      </w:r>
      <w:r>
        <w:rPr>
          <w:rFonts w:hint="eastAsia" w:ascii="仿宋" w:hAnsi="仿宋" w:eastAsia="仿宋" w:cs="仿宋"/>
          <w:sz w:val="24"/>
          <w:szCs w:val="24"/>
        </w:rPr>
        <w:t>）：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全额支付当季度维保费用</w:t>
      </w:r>
      <w:r>
        <w:rPr>
          <w:rFonts w:hint="eastAsia" w:ascii="仿宋" w:hAnsi="仿宋" w:eastAsia="仿宋" w:cs="仿宋"/>
          <w:sz w:val="24"/>
          <w:szCs w:val="24"/>
        </w:rPr>
        <w:t>。</w:t>
      </w:r>
    </w:p>
    <w:p w14:paraId="25D0D5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atLeast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合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24"/>
          <w:szCs w:val="24"/>
        </w:rPr>
        <w:t>格（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80-89</w:t>
      </w:r>
      <w:r>
        <w:rPr>
          <w:rFonts w:hint="eastAsia" w:ascii="仿宋" w:hAnsi="仿宋" w:eastAsia="仿宋" w:cs="仿宋"/>
          <w:sz w:val="24"/>
          <w:szCs w:val="24"/>
        </w:rPr>
        <w:t>分）：提出改进建议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，限期整改，整改不达标，</w:t>
      </w:r>
      <w:r>
        <w:rPr>
          <w:rFonts w:hint="eastAsia" w:ascii="仿宋" w:hAnsi="仿宋" w:eastAsia="仿宋" w:cs="仿宋"/>
          <w:sz w:val="24"/>
          <w:szCs w:val="24"/>
        </w:rPr>
        <w:t>扣减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当季度维护费用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1</w:t>
      </w:r>
      <w:r>
        <w:rPr>
          <w:rFonts w:hint="eastAsia" w:ascii="仿宋" w:hAnsi="仿宋" w:eastAsia="仿宋" w:cs="仿宋"/>
          <w:sz w:val="24"/>
          <w:szCs w:val="24"/>
        </w:rPr>
        <w:t>%。</w:t>
      </w:r>
    </w:p>
    <w:p w14:paraId="061FDF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atLeast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不合格（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80分</w:t>
      </w:r>
      <w:r>
        <w:rPr>
          <w:rFonts w:hint="eastAsia" w:ascii="仿宋" w:hAnsi="仿宋" w:eastAsia="仿宋" w:cs="仿宋"/>
          <w:sz w:val="24"/>
          <w:szCs w:val="24"/>
        </w:rPr>
        <w:t>以下）：扣减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当季度维护费用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5</w:t>
      </w:r>
      <w:r>
        <w:rPr>
          <w:rFonts w:hint="eastAsia" w:ascii="仿宋" w:hAnsi="仿宋" w:eastAsia="仿宋" w:cs="仿宋"/>
          <w:sz w:val="24"/>
          <w:szCs w:val="24"/>
        </w:rPr>
        <w:t>%。</w:t>
      </w:r>
    </w:p>
    <w:p w14:paraId="58A80D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atLeast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备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注：一个年度内累计有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2季度考核不合格，甲方有权利解除合同。</w:t>
      </w:r>
    </w:p>
    <w:p w14:paraId="00F7038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atLeast"/>
        <w:textAlignment w:val="auto"/>
        <w:rPr>
          <w:rFonts w:hint="eastAsia" w:ascii="仿宋" w:hAnsi="仿宋" w:eastAsia="仿宋" w:cs="仿宋"/>
          <w:b/>
          <w:bCs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kern w:val="2"/>
          <w:sz w:val="24"/>
          <w:szCs w:val="24"/>
          <w:lang w:val="en-US" w:eastAsia="zh-CN" w:bidi="ar-SA"/>
        </w:rPr>
        <w:t>六、</w:t>
      </w:r>
      <w:r>
        <w:rPr>
          <w:rFonts w:hint="eastAsia" w:ascii="仿宋" w:hAnsi="仿宋" w:eastAsia="仿宋" w:cs="仿宋"/>
          <w:b/>
          <w:bCs/>
          <w:sz w:val="24"/>
          <w:szCs w:val="24"/>
        </w:rPr>
        <w:t>附则</w:t>
      </w:r>
    </w:p>
    <w:p w14:paraId="43D96D1B">
      <w:pPr>
        <w:pStyle w:val="2"/>
        <w:numPr>
          <w:ilvl w:val="0"/>
          <w:numId w:val="0"/>
        </w:numPr>
        <w:ind w:firstLine="480" w:firstLineChars="200"/>
        <w:rPr>
          <w:rFonts w:hint="eastAsia" w:eastAsia="仿宋"/>
          <w:lang w:eastAsia="zh-CN"/>
        </w:rPr>
      </w:pPr>
      <w:r>
        <w:rPr>
          <w:rFonts w:hint="eastAsia" w:ascii="仿宋" w:hAnsi="仿宋" w:eastAsia="仿宋" w:cs="仿宋"/>
          <w:sz w:val="24"/>
          <w:szCs w:val="24"/>
        </w:rPr>
        <w:t>考核数据以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视频监控系统</w:t>
      </w:r>
      <w:r>
        <w:rPr>
          <w:rFonts w:hint="eastAsia" w:ascii="仿宋" w:hAnsi="仿宋" w:eastAsia="仿宋" w:cs="仿宋"/>
          <w:sz w:val="24"/>
          <w:szCs w:val="24"/>
        </w:rPr>
        <w:t>巡检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登记表</w:t>
      </w:r>
      <w:r>
        <w:rPr>
          <w:rFonts w:hint="eastAsia" w:ascii="仿宋" w:hAnsi="仿宋" w:eastAsia="仿宋" w:cs="仿宋"/>
          <w:sz w:val="24"/>
          <w:szCs w:val="24"/>
        </w:rPr>
        <w:t>、维修记录、满意度调查表为准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。</w:t>
      </w:r>
    </w:p>
    <w:p w14:paraId="0B72CA5E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 w:themeColor="text1"/>
          <w:spacing w:val="0"/>
          <w:sz w:val="24"/>
          <w:szCs w:val="24"/>
          <w:shd w:val="clear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 w:themeColor="text1"/>
          <w:spacing w:val="0"/>
          <w:kern w:val="2"/>
          <w:sz w:val="24"/>
          <w:szCs w:val="24"/>
          <w:shd w:val="clear" w:fill="FFFFFF"/>
          <w:lang w:val="en-US" w:eastAsia="zh-CN" w:bidi="ar-SA"/>
          <w14:textFill>
            <w14:solidFill>
              <w14:schemeClr w14:val="tx1"/>
            </w14:solidFill>
          </w14:textFill>
        </w:rPr>
        <w:t>七、</w:t>
      </w:r>
      <w:r>
        <w:rPr>
          <w:rFonts w:hint="eastAsia" w:ascii="仿宋" w:hAnsi="仿宋" w:eastAsia="仿宋" w:cs="仿宋"/>
          <w:b/>
          <w:bCs/>
          <w:sz w:val="24"/>
          <w:lang w:eastAsia="zh-CN"/>
        </w:rPr>
        <w:t>满意度调查表</w:t>
      </w:r>
    </w:p>
    <w:p w14:paraId="3A4491CB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105" w:beforeAutospacing="0" w:after="105" w:afterAutospacing="0" w:line="340" w:lineRule="atLeast"/>
        <w:ind w:left="0" w:right="0" w:firstLine="120" w:firstLineChars="50"/>
        <w:jc w:val="left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 w:themeColor="text1"/>
          <w:spacing w:val="0"/>
          <w:sz w:val="24"/>
          <w:szCs w:val="24"/>
          <w:shd w:val="clear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 w:themeColor="text1"/>
          <w:spacing w:val="0"/>
          <w:sz w:val="24"/>
          <w:szCs w:val="24"/>
          <w:shd w:val="clear" w:fill="FFFFFF"/>
          <w14:textFill>
            <w14:solidFill>
              <w14:schemeClr w14:val="tx1"/>
            </w14:solidFill>
          </w14:textFill>
        </w:rPr>
        <w:t>‌</w:t>
      </w:r>
      <w:r>
        <w:rPr>
          <w:rStyle w:val="8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 w:themeColor="text1"/>
          <w:spacing w:val="0"/>
          <w:sz w:val="24"/>
          <w:szCs w:val="24"/>
          <w:shd w:val="clear" w:fill="FFFFFF"/>
          <w14:textFill>
            <w14:solidFill>
              <w14:schemeClr w14:val="tx1"/>
            </w14:solidFill>
          </w14:textFill>
        </w:rPr>
        <w:t>调查</w:t>
      </w:r>
      <w:r>
        <w:rPr>
          <w:rStyle w:val="8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 w:themeColor="text1"/>
          <w:spacing w:val="0"/>
          <w:sz w:val="24"/>
          <w:szCs w:val="24"/>
          <w:shd w:val="clear" w:fill="FFFFFF"/>
          <w:lang w:eastAsia="zh-CN"/>
          <w14:textFill>
            <w14:solidFill>
              <w14:schemeClr w14:val="tx1"/>
            </w14:solidFill>
          </w14:textFill>
        </w:rPr>
        <w:t>日</w:t>
      </w:r>
      <w:r>
        <w:rPr>
          <w:rStyle w:val="8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 w:themeColor="text1"/>
          <w:spacing w:val="0"/>
          <w:sz w:val="24"/>
          <w:szCs w:val="24"/>
          <w:shd w:val="clear" w:fill="FFFFFF"/>
          <w14:textFill>
            <w14:solidFill>
              <w14:schemeClr w14:val="tx1"/>
            </w14:solidFill>
          </w14:textFill>
        </w:rPr>
        <w:t>期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 w:themeColor="text1"/>
          <w:spacing w:val="0"/>
          <w:sz w:val="24"/>
          <w:szCs w:val="24"/>
          <w:shd w:val="clear" w:fill="FFFFFF"/>
          <w14:textFill>
            <w14:solidFill>
              <w14:schemeClr w14:val="tx1"/>
            </w14:solidFill>
          </w14:textFill>
        </w:rPr>
        <w:t>‌：_____年_____月_____日</w:t>
      </w:r>
    </w:p>
    <w:p w14:paraId="46CFE1B8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105" w:beforeAutospacing="0" w:after="105" w:afterAutospacing="0" w:line="340" w:lineRule="atLeast"/>
        <w:ind w:right="0" w:firstLine="240" w:firstLineChars="100"/>
        <w:jc w:val="left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 w:themeColor="text1"/>
          <w:spacing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 w:themeColor="text1"/>
          <w:spacing w:val="0"/>
          <w:sz w:val="24"/>
          <w:szCs w:val="24"/>
          <w:shd w:val="clear" w:fill="FFFFFF"/>
          <w14:textFill>
            <w14:solidFill>
              <w14:schemeClr w14:val="tx1"/>
            </w14:solidFill>
          </w14:textFill>
        </w:rPr>
        <w:t>‌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 w:themeColor="text1"/>
          <w:spacing w:val="0"/>
          <w:sz w:val="24"/>
          <w:szCs w:val="24"/>
          <w:shd w:val="clear" w:fill="FFFFFF"/>
          <w:lang w:eastAsia="zh-CN"/>
          <w14:textFill>
            <w14:solidFill>
              <w14:schemeClr w14:val="tx1"/>
            </w14:solidFill>
          </w14:textFill>
        </w:rPr>
        <w:t>一</w:t>
      </w:r>
      <w:r>
        <w:rPr>
          <w:rStyle w:val="8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 w:themeColor="text1"/>
          <w:spacing w:val="0"/>
          <w:sz w:val="24"/>
          <w:szCs w:val="24"/>
          <w:shd w:val="clear" w:fill="FFFFFF"/>
          <w14:textFill>
            <w14:solidFill>
              <w14:schemeClr w14:val="tx1"/>
            </w14:solidFill>
          </w14:textFill>
        </w:rPr>
        <w:t>、科室信息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 w:themeColor="text1"/>
          <w:spacing w:val="0"/>
          <w:sz w:val="24"/>
          <w:szCs w:val="24"/>
          <w:shd w:val="clear" w:fill="FFFFFF"/>
          <w14:textFill>
            <w14:solidFill>
              <w14:schemeClr w14:val="tx1"/>
            </w14:solidFill>
          </w14:textFill>
        </w:rPr>
        <w:t>‌</w:t>
      </w:r>
    </w:p>
    <w:p w14:paraId="68A7C557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90" w:beforeAutospacing="0" w:after="90" w:afterAutospacing="0" w:line="340" w:lineRule="atLeast"/>
        <w:ind w:right="0" w:rightChars="0" w:firstLine="120" w:firstLineChars="50"/>
        <w:jc w:val="left"/>
        <w:textAlignment w:val="auto"/>
        <w:rPr>
          <w:rFonts w:hint="eastAsia" w:ascii="仿宋" w:hAnsi="仿宋" w:eastAsia="仿宋" w:cs="仿宋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 w:themeColor="text1"/>
          <w:spacing w:val="0"/>
          <w:sz w:val="24"/>
          <w:szCs w:val="24"/>
          <w:shd w:val="clear" w:fill="FFFFFF"/>
          <w14:textFill>
            <w14:solidFill>
              <w14:schemeClr w14:val="tx1"/>
            </w14:solidFill>
          </w14:textFill>
        </w:rPr>
        <w:t>科室名称：____________________</w:t>
      </w:r>
    </w:p>
    <w:p w14:paraId="4E01AC4E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90" w:beforeAutospacing="0" w:after="90" w:afterAutospacing="0" w:line="340" w:lineRule="atLeast"/>
        <w:ind w:right="0" w:rightChars="0" w:firstLine="120" w:firstLineChars="50"/>
        <w:jc w:val="left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 w:themeColor="text1"/>
          <w:spacing w:val="0"/>
          <w:sz w:val="24"/>
          <w:szCs w:val="24"/>
          <w:shd w:val="clear" w:fill="FFFFFF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 w:themeColor="text1"/>
          <w:spacing w:val="0"/>
          <w:sz w:val="24"/>
          <w:szCs w:val="24"/>
          <w:shd w:val="clear" w:fill="FFFFFF"/>
          <w14:textFill>
            <w14:solidFill>
              <w14:schemeClr w14:val="tx1"/>
            </w14:solidFill>
          </w14:textFill>
        </w:rPr>
        <w:t>科室类型（勾选）：□门诊 □急诊 □住院部 □手术室 □ICU □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 w:themeColor="text1"/>
          <w:spacing w:val="0"/>
          <w:sz w:val="24"/>
          <w:szCs w:val="24"/>
          <w:shd w:val="clear" w:fill="FFFFFF"/>
          <w:lang w:eastAsia="zh-CN"/>
          <w14:textFill>
            <w14:solidFill>
              <w14:schemeClr w14:val="tx1"/>
            </w14:solidFill>
          </w14:textFill>
        </w:rPr>
        <w:t>财务室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 w:themeColor="text1"/>
          <w:spacing w:val="0"/>
          <w:sz w:val="24"/>
          <w:szCs w:val="24"/>
          <w:shd w:val="clear" w:fill="FFFFFF"/>
          <w14:textFill>
            <w14:solidFill>
              <w14:schemeClr w14:val="tx1"/>
            </w14:solidFill>
          </w14:textFill>
        </w:rPr>
        <w:t xml:space="preserve"> □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 w:themeColor="text1"/>
          <w:spacing w:val="0"/>
          <w:sz w:val="24"/>
          <w:szCs w:val="24"/>
          <w:shd w:val="clear" w:fill="FFFFFF"/>
          <w:lang w:eastAsia="zh-CN"/>
          <w14:textFill>
            <w14:solidFill>
              <w14:schemeClr w14:val="tx1"/>
            </w14:solidFill>
          </w14:textFill>
        </w:rPr>
        <w:t>行政后勤</w:t>
      </w:r>
    </w:p>
    <w:p w14:paraId="591584E5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90" w:beforeAutospacing="0" w:after="90" w:afterAutospacing="0" w:line="340" w:lineRule="atLeast"/>
        <w:ind w:right="0" w:rightChars="0" w:firstLine="120" w:firstLineChars="50"/>
        <w:jc w:val="left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 w:themeColor="text1"/>
          <w:spacing w:val="0"/>
          <w:sz w:val="24"/>
          <w:szCs w:val="24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 w:themeColor="text1"/>
          <w:spacing w:val="0"/>
          <w:sz w:val="24"/>
          <w:szCs w:val="24"/>
          <w:shd w:val="clear" w:fill="FFFFFF"/>
          <w14:textFill>
            <w14:solidFill>
              <w14:schemeClr w14:val="tx1"/>
            </w14:solidFill>
          </w14:textFill>
        </w:rPr>
        <w:t>□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 w:themeColor="text1"/>
          <w:spacing w:val="0"/>
          <w:sz w:val="24"/>
          <w:szCs w:val="24"/>
          <w:shd w:val="clear" w:fill="FFFFFF"/>
          <w:lang w:eastAsia="zh-CN"/>
          <w14:textFill>
            <w14:solidFill>
              <w14:schemeClr w14:val="tx1"/>
            </w14:solidFill>
          </w14:textFill>
        </w:rPr>
        <w:t>其他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 w:themeColor="text1"/>
          <w:spacing w:val="0"/>
          <w:sz w:val="24"/>
          <w:szCs w:val="24"/>
          <w:shd w:val="clear" w:fill="FFFFFF"/>
          <w14:textFill>
            <w14:solidFill>
              <w14:schemeClr w14:val="tx1"/>
            </w14:solidFill>
          </w14:textFill>
        </w:rPr>
        <w:t>____________</w:t>
      </w:r>
    </w:p>
    <w:p w14:paraId="676F2854">
      <w:pPr>
        <w:rPr>
          <w:rFonts w:hint="eastAsia" w:ascii="仿宋" w:hAnsi="仿宋" w:eastAsia="仿宋" w:cs="仿宋"/>
          <w:b/>
          <w:bCs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 w:themeColor="text1"/>
          <w:spacing w:val="0"/>
          <w:sz w:val="24"/>
          <w:szCs w:val="24"/>
          <w:shd w:val="clear" w:fill="FFFFFF"/>
          <w14:textFill>
            <w14:solidFill>
              <w14:schemeClr w14:val="tx1"/>
            </w14:solidFill>
          </w14:textFill>
        </w:rPr>
        <w:t>‌</w:t>
      </w:r>
      <w:r>
        <w:rPr>
          <w:rStyle w:val="8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 w:themeColor="text1"/>
          <w:spacing w:val="0"/>
          <w:sz w:val="24"/>
          <w:szCs w:val="24"/>
          <w:shd w:val="clear" w:fill="FFFFFF"/>
          <w14:textFill>
            <w14:solidFill>
              <w14:schemeClr w14:val="tx1"/>
            </w14:solidFill>
          </w14:textFill>
        </w:rPr>
        <w:t>二、服务评价（1-5分，1为非常不满意，</w:t>
      </w:r>
      <w:r>
        <w:rPr>
          <w:rStyle w:val="8"/>
          <w:rFonts w:hint="default" w:ascii="仿宋" w:hAnsi="仿宋" w:eastAsia="仿宋" w:cs="仿宋"/>
          <w:b w:val="0"/>
          <w:bCs w:val="0"/>
          <w:i w:val="0"/>
          <w:iCs w:val="0"/>
          <w:caps w:val="0"/>
          <w:color w:val="000000" w:themeColor="text1"/>
          <w:spacing w:val="0"/>
          <w:sz w:val="24"/>
          <w:szCs w:val="24"/>
          <w:shd w:val="clear" w:fill="FFFFFF"/>
          <w:lang w:val="en-US"/>
          <w14:textFill>
            <w14:solidFill>
              <w14:schemeClr w14:val="tx1"/>
            </w14:solidFill>
          </w14:textFill>
        </w:rPr>
        <w:t>2</w:t>
      </w:r>
      <w:r>
        <w:rPr>
          <w:rStyle w:val="8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 w:themeColor="text1"/>
          <w:spacing w:val="0"/>
          <w:sz w:val="24"/>
          <w:szCs w:val="24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为不满意，3为一般，4为满意，</w:t>
      </w:r>
      <w:r>
        <w:rPr>
          <w:rStyle w:val="8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 w:themeColor="text1"/>
          <w:spacing w:val="0"/>
          <w:sz w:val="24"/>
          <w:szCs w:val="24"/>
          <w:shd w:val="clear" w:fill="FFFFFF"/>
          <w14:textFill>
            <w14:solidFill>
              <w14:schemeClr w14:val="tx1"/>
            </w14:solidFill>
          </w14:textFill>
        </w:rPr>
        <w:t>5为非常满意</w:t>
      </w:r>
      <w:r>
        <w:rPr>
          <w:rStyle w:val="8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 w:themeColor="text1"/>
          <w:spacing w:val="0"/>
          <w:sz w:val="24"/>
          <w:szCs w:val="24"/>
          <w:shd w:val="clear" w:fill="FFFFFF"/>
          <w:lang w:eastAsia="zh-CN"/>
          <w14:textFill>
            <w14:solidFill>
              <w14:schemeClr w14:val="tx1"/>
            </w14:solidFill>
          </w14:textFill>
        </w:rPr>
        <w:t>）</w:t>
      </w:r>
    </w:p>
    <w:tbl>
      <w:tblPr>
        <w:tblStyle w:val="5"/>
        <w:tblW w:w="0" w:type="auto"/>
        <w:tblCellSpacing w:w="15" w:type="dxa"/>
        <w:tblInd w:w="26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561"/>
        <w:gridCol w:w="1635"/>
        <w:gridCol w:w="2130"/>
      </w:tblGrid>
      <w:tr w14:paraId="2488F3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Header/>
          <w:tblCellSpacing w:w="15" w:type="dxa"/>
        </w:trPr>
        <w:tc>
          <w:tcPr>
            <w:tcW w:w="448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top w:w="158" w:type="dxa"/>
              <w:left w:w="240" w:type="dxa"/>
              <w:bottom w:w="113" w:type="dxa"/>
              <w:right w:w="240" w:type="dxa"/>
            </w:tcMar>
            <w:vAlign w:val="center"/>
          </w:tcPr>
          <w:p w14:paraId="11B0C4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评价项目</w:t>
            </w:r>
          </w:p>
        </w:tc>
        <w:tc>
          <w:tcPr>
            <w:tcW w:w="1590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top w:w="158" w:type="dxa"/>
              <w:left w:w="240" w:type="dxa"/>
              <w:bottom w:w="113" w:type="dxa"/>
              <w:right w:w="240" w:type="dxa"/>
            </w:tcMar>
            <w:vAlign w:val="center"/>
          </w:tcPr>
          <w:p w14:paraId="60BA38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评分</w:t>
            </w:r>
          </w:p>
        </w:tc>
        <w:tc>
          <w:tcPr>
            <w:tcW w:w="2070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tcMar>
              <w:top w:w="158" w:type="dxa"/>
              <w:left w:w="240" w:type="dxa"/>
              <w:bottom w:w="113" w:type="dxa"/>
              <w:right w:w="240" w:type="dxa"/>
            </w:tcMar>
            <w:vAlign w:val="center"/>
          </w:tcPr>
          <w:p w14:paraId="468381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备注（可选）</w:t>
            </w:r>
          </w:p>
        </w:tc>
      </w:tr>
      <w:tr w14:paraId="4E1CF8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4486" w:type="dxa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158" w:type="dxa"/>
              <w:left w:w="240" w:type="dxa"/>
              <w:bottom w:w="158" w:type="dxa"/>
              <w:right w:w="240" w:type="dxa"/>
            </w:tcMar>
            <w:vAlign w:val="center"/>
          </w:tcPr>
          <w:p w14:paraId="473D10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 故障响应速度（如60分钟内到场）</w:t>
            </w:r>
          </w:p>
        </w:tc>
        <w:tc>
          <w:tcPr>
            <w:tcW w:w="1590" w:type="dxa"/>
            <w:tcBorders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158" w:type="dxa"/>
              <w:left w:w="240" w:type="dxa"/>
              <w:bottom w:w="158" w:type="dxa"/>
              <w:right w:w="240" w:type="dxa"/>
            </w:tcMar>
            <w:vAlign w:val="center"/>
          </w:tcPr>
          <w:p w14:paraId="6D18F4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1 2 3 4 5</w:t>
            </w:r>
          </w:p>
        </w:tc>
        <w:tc>
          <w:tcPr>
            <w:tcW w:w="2070" w:type="dxa"/>
            <w:tcBorders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158" w:type="dxa"/>
              <w:left w:w="240" w:type="dxa"/>
              <w:bottom w:w="158" w:type="dxa"/>
              <w:right w:w="240" w:type="dxa"/>
            </w:tcMar>
            <w:vAlign w:val="center"/>
          </w:tcPr>
          <w:p w14:paraId="7ACC00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EF47A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4486" w:type="dxa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158" w:type="dxa"/>
              <w:left w:w="240" w:type="dxa"/>
              <w:bottom w:w="158" w:type="dxa"/>
              <w:right w:w="240" w:type="dxa"/>
            </w:tcMar>
            <w:vAlign w:val="center"/>
          </w:tcPr>
          <w:p w14:paraId="7E2A6D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2. 维护人员能力与专业性</w:t>
            </w:r>
          </w:p>
        </w:tc>
        <w:tc>
          <w:tcPr>
            <w:tcW w:w="1590" w:type="dxa"/>
            <w:tcBorders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158" w:type="dxa"/>
              <w:left w:w="240" w:type="dxa"/>
              <w:bottom w:w="158" w:type="dxa"/>
              <w:right w:w="240" w:type="dxa"/>
            </w:tcMar>
            <w:vAlign w:val="center"/>
          </w:tcPr>
          <w:p w14:paraId="7DA012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1 2 3 4 5</w:t>
            </w:r>
          </w:p>
        </w:tc>
        <w:tc>
          <w:tcPr>
            <w:tcW w:w="2070" w:type="dxa"/>
            <w:tcBorders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158" w:type="dxa"/>
              <w:left w:w="240" w:type="dxa"/>
              <w:bottom w:w="158" w:type="dxa"/>
              <w:right w:w="240" w:type="dxa"/>
            </w:tcMar>
            <w:vAlign w:val="center"/>
          </w:tcPr>
          <w:p w14:paraId="637E6C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81DF4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4486" w:type="dxa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158" w:type="dxa"/>
              <w:left w:w="240" w:type="dxa"/>
              <w:bottom w:w="158" w:type="dxa"/>
              <w:right w:w="240" w:type="dxa"/>
            </w:tcMar>
            <w:vAlign w:val="center"/>
          </w:tcPr>
          <w:p w14:paraId="072DE2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3. 维修后系统稳定性（如无重复故障）</w:t>
            </w:r>
          </w:p>
        </w:tc>
        <w:tc>
          <w:tcPr>
            <w:tcW w:w="1590" w:type="dxa"/>
            <w:tcBorders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158" w:type="dxa"/>
              <w:left w:w="240" w:type="dxa"/>
              <w:bottom w:w="158" w:type="dxa"/>
              <w:right w:w="240" w:type="dxa"/>
            </w:tcMar>
            <w:vAlign w:val="center"/>
          </w:tcPr>
          <w:p w14:paraId="3B2A7B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1 2 3 4 5</w:t>
            </w:r>
          </w:p>
        </w:tc>
        <w:tc>
          <w:tcPr>
            <w:tcW w:w="2070" w:type="dxa"/>
            <w:tcBorders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158" w:type="dxa"/>
              <w:left w:w="240" w:type="dxa"/>
              <w:bottom w:w="158" w:type="dxa"/>
              <w:right w:w="240" w:type="dxa"/>
            </w:tcMar>
            <w:vAlign w:val="center"/>
          </w:tcPr>
          <w:p w14:paraId="7840FF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04589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4486" w:type="dxa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158" w:type="dxa"/>
              <w:left w:w="240" w:type="dxa"/>
              <w:bottom w:w="158" w:type="dxa"/>
              <w:right w:w="240" w:type="dxa"/>
            </w:tcMar>
            <w:vAlign w:val="center"/>
          </w:tcPr>
          <w:p w14:paraId="4BBD74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4. 定期巡检执行情况（如每月检查）</w:t>
            </w:r>
          </w:p>
        </w:tc>
        <w:tc>
          <w:tcPr>
            <w:tcW w:w="1590" w:type="dxa"/>
            <w:tcBorders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158" w:type="dxa"/>
              <w:left w:w="240" w:type="dxa"/>
              <w:bottom w:w="158" w:type="dxa"/>
              <w:right w:w="240" w:type="dxa"/>
            </w:tcMar>
            <w:vAlign w:val="center"/>
          </w:tcPr>
          <w:p w14:paraId="244863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1 2 3 4 5</w:t>
            </w:r>
          </w:p>
        </w:tc>
        <w:tc>
          <w:tcPr>
            <w:tcW w:w="2070" w:type="dxa"/>
            <w:tcBorders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158" w:type="dxa"/>
              <w:left w:w="240" w:type="dxa"/>
              <w:bottom w:w="158" w:type="dxa"/>
              <w:right w:w="240" w:type="dxa"/>
            </w:tcMar>
            <w:vAlign w:val="center"/>
          </w:tcPr>
          <w:p w14:paraId="13327F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6FF3A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4486" w:type="dxa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158" w:type="dxa"/>
              <w:left w:w="240" w:type="dxa"/>
              <w:bottom w:w="158" w:type="dxa"/>
              <w:right w:w="240" w:type="dxa"/>
            </w:tcMar>
            <w:vAlign w:val="center"/>
          </w:tcPr>
          <w:p w14:paraId="4CDACF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5. 服务态度与沟通效果</w:t>
            </w:r>
          </w:p>
        </w:tc>
        <w:tc>
          <w:tcPr>
            <w:tcW w:w="1590" w:type="dxa"/>
            <w:tcBorders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158" w:type="dxa"/>
              <w:left w:w="240" w:type="dxa"/>
              <w:bottom w:w="158" w:type="dxa"/>
              <w:right w:w="240" w:type="dxa"/>
            </w:tcMar>
            <w:vAlign w:val="center"/>
          </w:tcPr>
          <w:p w14:paraId="75868C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1 2 3 4 5</w:t>
            </w:r>
          </w:p>
        </w:tc>
        <w:tc>
          <w:tcPr>
            <w:tcW w:w="2070" w:type="dxa"/>
            <w:tcBorders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158" w:type="dxa"/>
              <w:left w:w="240" w:type="dxa"/>
              <w:bottom w:w="158" w:type="dxa"/>
              <w:right w:w="240" w:type="dxa"/>
            </w:tcMar>
            <w:vAlign w:val="center"/>
          </w:tcPr>
          <w:p w14:paraId="61CB19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687A8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4486" w:type="dxa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158" w:type="dxa"/>
              <w:left w:w="240" w:type="dxa"/>
              <w:bottom w:w="158" w:type="dxa"/>
              <w:right w:w="240" w:type="dxa"/>
            </w:tcMar>
            <w:vAlign w:val="center"/>
          </w:tcPr>
          <w:p w14:paraId="46C581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6. 高风险区域特殊保障</w:t>
            </w:r>
          </w:p>
        </w:tc>
        <w:tc>
          <w:tcPr>
            <w:tcW w:w="1590" w:type="dxa"/>
            <w:tcBorders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158" w:type="dxa"/>
              <w:left w:w="240" w:type="dxa"/>
              <w:bottom w:w="158" w:type="dxa"/>
              <w:right w:w="240" w:type="dxa"/>
            </w:tcMar>
            <w:vAlign w:val="center"/>
          </w:tcPr>
          <w:p w14:paraId="78900C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1 2 3 4 5</w:t>
            </w:r>
          </w:p>
        </w:tc>
        <w:tc>
          <w:tcPr>
            <w:tcW w:w="2070" w:type="dxa"/>
            <w:tcBorders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158" w:type="dxa"/>
              <w:left w:w="240" w:type="dxa"/>
              <w:bottom w:w="158" w:type="dxa"/>
              <w:right w:w="240" w:type="dxa"/>
            </w:tcMar>
            <w:vAlign w:val="center"/>
          </w:tcPr>
          <w:p w14:paraId="752614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4B26F91A">
      <w:pPr>
        <w:pStyle w:val="9"/>
        <w:keepNext w:val="0"/>
        <w:keepLines w:val="0"/>
        <w:pageBreakBefore w:val="0"/>
        <w:widowControl/>
        <w:kinsoku/>
        <w:wordWrap w:val="0"/>
        <w:overflowPunct/>
        <w:topLinePunct/>
        <w:autoSpaceDE/>
        <w:autoSpaceDN/>
        <w:bidi w:val="0"/>
        <w:adjustRightInd/>
        <w:snapToGrid/>
        <w:spacing w:line="240" w:lineRule="auto"/>
        <w:ind w:firstLine="0" w:firstLineChars="0"/>
        <w:jc w:val="left"/>
        <w:textAlignment w:val="auto"/>
      </w:pPr>
      <w:bookmarkStart w:id="1" w:name="_GoBack"/>
      <w:bookmarkEnd w:id="1"/>
      <w:r>
        <w:rPr>
          <w:rFonts w:hint="eastAsia" w:ascii="仿宋" w:hAnsi="仿宋" w:eastAsia="仿宋" w:cs="仿宋"/>
          <w:color w:val="000000"/>
          <w:kern w:val="0"/>
          <w:sz w:val="22"/>
          <w:szCs w:val="22"/>
          <w:u w:val="none"/>
          <w:lang w:val="en-US" w:eastAsia="zh-CN" w:bidi="ar"/>
        </w:rPr>
        <w:br w:type="textWrapping"/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7F66F5"/>
    <w:rsid w:val="108B406B"/>
    <w:rsid w:val="18864C72"/>
    <w:rsid w:val="1ACE595C"/>
    <w:rsid w:val="1C662C9C"/>
    <w:rsid w:val="20611393"/>
    <w:rsid w:val="341724F4"/>
    <w:rsid w:val="388A64C7"/>
    <w:rsid w:val="42845131"/>
    <w:rsid w:val="47744FDF"/>
    <w:rsid w:val="4A2C259B"/>
    <w:rsid w:val="4A2D1A25"/>
    <w:rsid w:val="50931F26"/>
    <w:rsid w:val="5B49748C"/>
    <w:rsid w:val="5F691A0D"/>
    <w:rsid w:val="67B475D0"/>
    <w:rsid w:val="67BA4749"/>
    <w:rsid w:val="73AD7A2C"/>
    <w:rsid w:val="7D760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widowControl w:val="0"/>
      <w:autoSpaceDE/>
      <w:autoSpaceDN/>
      <w:spacing w:before="0" w:after="0" w:line="360" w:lineRule="auto"/>
      <w:ind w:left="0" w:firstLine="24"/>
      <w:jc w:val="center"/>
      <w:outlineLvl w:val="0"/>
    </w:pPr>
    <w:rPr>
      <w:rFonts w:ascii="Times New Roman" w:hAnsi="Times New Roman" w:eastAsia="仿宋" w:cs="Times New Roman"/>
      <w:b/>
      <w:sz w:val="32"/>
      <w:szCs w:val="22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99"/>
    <w:pPr>
      <w:snapToGrid w:val="0"/>
      <w:spacing w:line="440" w:lineRule="exact"/>
    </w:pPr>
    <w:rPr>
      <w:rFonts w:ascii="Times New Roman" w:eastAsia="Times New Roman"/>
      <w:sz w:val="20"/>
    </w:rPr>
  </w:style>
  <w:style w:type="paragraph" w:styleId="4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0"/>
    <w:rPr>
      <w:b/>
    </w:rPr>
  </w:style>
  <w:style w:type="paragraph" w:customStyle="1" w:styleId="9">
    <w:name w:val="null3"/>
    <w:hidden/>
    <w:qFormat/>
    <w:uiPriority w:val="0"/>
    <w:rPr>
      <w:rFonts w:hint="eastAsia" w:asciiTheme="minorHAnsi" w:hAnsiTheme="minorHAnsi" w:eastAsiaTheme="minorEastAsia" w:cstheme="minorBidi"/>
      <w:lang w:val="en-US" w:eastAsia="zh-Hans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3485</Words>
  <Characters>3604</Characters>
  <Lines>0</Lines>
  <Paragraphs>0</Paragraphs>
  <TotalTime>0</TotalTime>
  <ScaleCrop>false</ScaleCrop>
  <LinksUpToDate>false</LinksUpToDate>
  <CharactersWithSpaces>3610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超超杨</cp:lastModifiedBy>
  <dcterms:modified xsi:type="dcterms:W3CDTF">2025-11-03T03:10:39Z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KSOTemplateDocerSaveRecord">
    <vt:lpwstr>eyJoZGlkIjoiYzI4N2ZiMDIxNTgzYTE0ZGY4Y2VmOTFiZDBiZGUxMjUiLCJ1c2VySWQiOiIyOTgyNDc5NTEifQ==</vt:lpwstr>
  </property>
  <property fmtid="{D5CDD505-2E9C-101B-9397-08002B2CF9AE}" pid="4" name="ICV">
    <vt:lpwstr>C5B7C8CBB9774CFEB3B6A5951A74B4A9_12</vt:lpwstr>
  </property>
</Properties>
</file>