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A800EB">
      <w:pPr>
        <w:pStyle w:val="6"/>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0850A5A1">
      <w:pPr>
        <w:pStyle w:val="6"/>
        <w:spacing w:line="360" w:lineRule="auto"/>
        <w:ind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（注：本章的技术、服务及其他要求中，带“★”的要求为实质性要求。</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、代理机构应当根据项目实际要求合理设定，并在第五章符合性审查中明确响应要求。）</w:t>
      </w:r>
    </w:p>
    <w:p w14:paraId="048B5B3D">
      <w:pPr>
        <w:pStyle w:val="6"/>
        <w:spacing w:line="360" w:lineRule="auto"/>
        <w:jc w:val="left"/>
        <w:outlineLvl w:val="1"/>
        <w:rPr>
          <w:rFonts w:hint="eastAsia" w:ascii="仿宋" w:hAnsi="仿宋" w:eastAsia="仿宋" w:cs="仿宋"/>
          <w:sz w:val="24"/>
          <w:szCs w:val="24"/>
          <w:highlight w:val="none"/>
          <w:lang w:eastAsia="zh-CN"/>
        </w:rPr>
      </w:pPr>
      <w:r>
        <w:rPr>
          <w:rFonts w:hint="eastAsia" w:ascii="仿宋" w:hAnsi="仿宋" w:eastAsia="仿宋" w:cs="仿宋"/>
          <w:b/>
          <w:sz w:val="24"/>
          <w:szCs w:val="24"/>
          <w:highlight w:val="none"/>
          <w:lang w:eastAsia="zh-CN"/>
        </w:rPr>
        <w:t>一、</w:t>
      </w:r>
      <w:r>
        <w:rPr>
          <w:rFonts w:hint="eastAsia" w:ascii="仿宋" w:hAnsi="仿宋" w:eastAsia="仿宋" w:cs="仿宋"/>
          <w:b/>
          <w:sz w:val="24"/>
          <w:szCs w:val="24"/>
          <w:highlight w:val="none"/>
          <w:lang w:val="en-US" w:eastAsia="zh-CN"/>
        </w:rPr>
        <w:t>标的情况</w:t>
      </w:r>
    </w:p>
    <w:p w14:paraId="26EEB938">
      <w:pPr>
        <w:pStyle w:val="6"/>
        <w:spacing w:line="360" w:lineRule="auto"/>
        <w:jc w:val="left"/>
        <w:outlineLvl w:val="2"/>
        <w:rPr>
          <w:rFonts w:hint="eastAsia" w:ascii="仿宋" w:hAnsi="仿宋" w:eastAsia="仿宋" w:cs="仿宋"/>
          <w:b/>
          <w:bCs/>
          <w:i w:val="0"/>
          <w:iCs w:val="0"/>
          <w:sz w:val="24"/>
          <w:szCs w:val="24"/>
        </w:rPr>
      </w:pPr>
      <w:r>
        <w:rPr>
          <w:rFonts w:hint="eastAsia" w:ascii="仿宋" w:hAnsi="仿宋" w:eastAsia="仿宋" w:cs="仿宋"/>
          <w:b/>
          <w:bCs/>
          <w:i w:val="0"/>
          <w:iCs w:val="0"/>
          <w:sz w:val="24"/>
          <w:szCs w:val="24"/>
        </w:rPr>
        <w:t>采购包1：</w:t>
      </w:r>
    </w:p>
    <w:tbl>
      <w:tblPr>
        <w:tblStyle w:val="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056"/>
        <w:gridCol w:w="1077"/>
        <w:gridCol w:w="1462"/>
        <w:gridCol w:w="1332"/>
        <w:gridCol w:w="1065"/>
        <w:gridCol w:w="1072"/>
        <w:gridCol w:w="1479"/>
      </w:tblGrid>
      <w:tr w14:paraId="50665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38" w:hRule="atLeast"/>
        </w:trPr>
        <w:tc>
          <w:tcPr>
            <w:tcW w:w="618"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6098EC2">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包号</w:t>
            </w:r>
          </w:p>
        </w:tc>
        <w:tc>
          <w:tcPr>
            <w:tcW w:w="630"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3EAEBD8">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编号</w:t>
            </w:r>
          </w:p>
        </w:tc>
        <w:tc>
          <w:tcPr>
            <w:tcW w:w="1462"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9DA18A1">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default" w:ascii="仿宋" w:hAnsi="仿宋" w:eastAsia="仿宋" w:cs="仿宋"/>
                <w:b/>
                <w:bCs/>
                <w:color w:val="auto"/>
                <w:sz w:val="24"/>
                <w:szCs w:val="24"/>
                <w:highlight w:val="none"/>
                <w:shd w:val="clear" w:color="auto" w:fill="auto"/>
                <w:lang w:val="en-US" w:eastAsia="zh-CN"/>
              </w:rPr>
              <w:t>标的名称</w:t>
            </w:r>
          </w:p>
        </w:tc>
        <w:tc>
          <w:tcPr>
            <w:tcW w:w="1332"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77D1A6D">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最高单价限价（</w:t>
            </w:r>
            <w:r>
              <w:rPr>
                <w:rFonts w:hint="default" w:ascii="仿宋" w:hAnsi="仿宋" w:eastAsia="仿宋" w:cs="仿宋"/>
                <w:b/>
                <w:bCs/>
                <w:color w:val="auto"/>
                <w:sz w:val="24"/>
                <w:szCs w:val="24"/>
                <w:highlight w:val="none"/>
                <w:shd w:val="clear" w:color="auto" w:fill="auto"/>
                <w:lang w:val="en-US" w:eastAsia="zh-CN"/>
              </w:rPr>
              <w:t>元</w:t>
            </w:r>
            <w:r>
              <w:rPr>
                <w:rFonts w:hint="eastAsia" w:ascii="仿宋" w:hAnsi="仿宋" w:eastAsia="仿宋" w:cs="仿宋"/>
                <w:b/>
                <w:bCs/>
                <w:color w:val="auto"/>
                <w:sz w:val="24"/>
                <w:szCs w:val="24"/>
                <w:highlight w:val="none"/>
                <w:shd w:val="clear" w:color="auto" w:fill="auto"/>
                <w:lang w:val="en-US" w:eastAsia="zh-CN"/>
              </w:rPr>
              <w:t>）</w:t>
            </w:r>
          </w:p>
        </w:tc>
        <w:tc>
          <w:tcPr>
            <w:tcW w:w="1065"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669661BF">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使用数量</w:t>
            </w:r>
          </w:p>
        </w:tc>
        <w:tc>
          <w:tcPr>
            <w:tcW w:w="1072"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679BA1F">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default" w:ascii="仿宋" w:hAnsi="仿宋" w:eastAsia="仿宋" w:cs="仿宋"/>
                <w:b/>
                <w:bCs/>
                <w:color w:val="auto"/>
                <w:sz w:val="24"/>
                <w:szCs w:val="24"/>
                <w:highlight w:val="none"/>
                <w:shd w:val="clear" w:color="auto" w:fill="auto"/>
                <w:lang w:val="en-US" w:eastAsia="zh-CN"/>
              </w:rPr>
              <w:t>计量单位</w:t>
            </w:r>
          </w:p>
        </w:tc>
        <w:tc>
          <w:tcPr>
            <w:tcW w:w="1479" w:type="dxa"/>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4D629987">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项目最高限价（</w:t>
            </w:r>
            <w:r>
              <w:rPr>
                <w:rFonts w:hint="default" w:ascii="仿宋" w:hAnsi="仿宋" w:eastAsia="仿宋" w:cs="仿宋"/>
                <w:b/>
                <w:bCs/>
                <w:color w:val="auto"/>
                <w:sz w:val="24"/>
                <w:szCs w:val="24"/>
                <w:highlight w:val="none"/>
                <w:shd w:val="clear" w:color="auto" w:fill="auto"/>
                <w:lang w:val="en-US" w:eastAsia="zh-CN"/>
              </w:rPr>
              <w:t>元</w:t>
            </w:r>
            <w:r>
              <w:rPr>
                <w:rFonts w:hint="eastAsia" w:ascii="仿宋" w:hAnsi="仿宋" w:eastAsia="仿宋" w:cs="仿宋"/>
                <w:b/>
                <w:bCs/>
                <w:color w:val="auto"/>
                <w:sz w:val="24"/>
                <w:szCs w:val="24"/>
                <w:highlight w:val="none"/>
                <w:shd w:val="clear" w:color="auto" w:fill="auto"/>
                <w:lang w:val="en-US" w:eastAsia="zh-CN"/>
              </w:rPr>
              <w:t>）</w:t>
            </w:r>
          </w:p>
        </w:tc>
      </w:tr>
      <w:tr w14:paraId="48564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8"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6C16FFF">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630"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046E0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46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4221F0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软性亲水接触镜</w:t>
            </w:r>
          </w:p>
        </w:tc>
        <w:tc>
          <w:tcPr>
            <w:tcW w:w="133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9B00E6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挂网价</w:t>
            </w:r>
          </w:p>
        </w:tc>
        <w:tc>
          <w:tcPr>
            <w:tcW w:w="106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B4D4CB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按计划</w:t>
            </w:r>
          </w:p>
        </w:tc>
        <w:tc>
          <w:tcPr>
            <w:tcW w:w="107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38A07A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片</w:t>
            </w:r>
          </w:p>
        </w:tc>
        <w:tc>
          <w:tcPr>
            <w:tcW w:w="147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5E6AE2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据实结算</w:t>
            </w:r>
          </w:p>
        </w:tc>
      </w:tr>
    </w:tbl>
    <w:p w14:paraId="285EF914">
      <w:pPr>
        <w:pStyle w:val="6"/>
        <w:spacing w:line="360" w:lineRule="auto"/>
        <w:jc w:val="left"/>
        <w:outlineLvl w:val="2"/>
        <w:rPr>
          <w:rFonts w:hint="eastAsia" w:ascii="仿宋" w:hAnsi="仿宋" w:eastAsia="仿宋" w:cs="仿宋"/>
          <w:color w:val="auto"/>
          <w:sz w:val="24"/>
          <w:highlight w:val="none"/>
          <w:u w:val="none"/>
          <w:lang w:val="en-US" w:eastAsia="zh-CN"/>
        </w:rPr>
      </w:pPr>
    </w:p>
    <w:p w14:paraId="79E70F0B">
      <w:pPr>
        <w:pStyle w:val="6"/>
        <w:spacing w:line="360" w:lineRule="auto"/>
        <w:ind w:firstLine="480"/>
        <w:jc w:val="left"/>
        <w:rPr>
          <w:rFonts w:hint="eastAsia" w:ascii="仿宋" w:hAnsi="仿宋" w:eastAsia="仿宋" w:cs="仿宋"/>
          <w:sz w:val="24"/>
          <w:szCs w:val="24"/>
        </w:rPr>
      </w:pPr>
      <w:r>
        <w:rPr>
          <w:rFonts w:hint="eastAsia" w:ascii="仿宋" w:hAnsi="仿宋" w:eastAsia="仿宋" w:cs="仿宋"/>
          <w:sz w:val="24"/>
          <w:szCs w:val="24"/>
        </w:rPr>
        <w:t>★注：</w:t>
      </w:r>
      <w:r>
        <w:rPr>
          <w:rFonts w:hint="eastAsia" w:ascii="仿宋" w:hAnsi="仿宋" w:eastAsia="仿宋" w:cs="仿宋"/>
          <w:sz w:val="24"/>
          <w:szCs w:val="24"/>
          <w:lang w:eastAsia="zh-CN"/>
        </w:rPr>
        <w:t>竞选人</w:t>
      </w:r>
      <w:r>
        <w:rPr>
          <w:rFonts w:hint="eastAsia" w:ascii="仿宋" w:hAnsi="仿宋" w:eastAsia="仿宋" w:cs="仿宋"/>
          <w:sz w:val="24"/>
          <w:szCs w:val="24"/>
        </w:rPr>
        <w:t>响应产品应当明确品牌和规格型号并指向唯一产品，不能指向唯一产品的，应通过报价表唯一产品说明栏补充说明。</w:t>
      </w:r>
    </w:p>
    <w:p w14:paraId="4FC78A64">
      <w:pPr>
        <w:pStyle w:val="6"/>
        <w:spacing w:line="360" w:lineRule="auto"/>
        <w:jc w:val="left"/>
        <w:outlineLvl w:val="1"/>
        <w:rPr>
          <w:rFonts w:hint="eastAsia" w:ascii="仿宋" w:hAnsi="仿宋" w:eastAsia="仿宋" w:cs="仿宋"/>
          <w:b/>
          <w:sz w:val="24"/>
          <w:szCs w:val="24"/>
          <w:lang w:eastAsia="zh-CN"/>
        </w:rPr>
      </w:pPr>
      <w:r>
        <w:rPr>
          <w:rFonts w:hint="eastAsia" w:ascii="仿宋" w:hAnsi="仿宋" w:eastAsia="仿宋" w:cs="仿宋"/>
          <w:b/>
          <w:sz w:val="24"/>
          <w:szCs w:val="24"/>
          <w:lang w:eastAsia="zh-CN"/>
        </w:rPr>
        <w:t>二、服务内容及要求</w:t>
      </w:r>
    </w:p>
    <w:p w14:paraId="19DAD076">
      <w:pPr>
        <w:pStyle w:val="6"/>
        <w:spacing w:line="360" w:lineRule="auto"/>
        <w:jc w:val="left"/>
        <w:outlineLvl w:val="1"/>
        <w:rPr>
          <w:rFonts w:hint="eastAsia" w:ascii="仿宋" w:hAnsi="仿宋" w:eastAsia="仿宋" w:cs="仿宋"/>
          <w:b/>
          <w:sz w:val="24"/>
          <w:szCs w:val="24"/>
          <w:lang w:eastAsia="zh-CN"/>
        </w:rPr>
      </w:pPr>
    </w:p>
    <w:tbl>
      <w:tblPr>
        <w:tblStyle w:val="4"/>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469"/>
        <w:gridCol w:w="1845"/>
        <w:gridCol w:w="4722"/>
      </w:tblGrid>
      <w:tr w14:paraId="3222E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6572B359">
            <w:pPr>
              <w:numPr>
                <w:ilvl w:val="0"/>
                <w:numId w:val="0"/>
              </w:numPr>
              <w:spacing w:line="240" w:lineRule="auto"/>
              <w:jc w:val="center"/>
              <w:rPr>
                <w:rFonts w:hint="default" w:ascii="楷体" w:hAnsi="楷体" w:eastAsia="楷体" w:cs="楷体"/>
                <w:b/>
                <w:bCs/>
                <w:color w:val="auto"/>
                <w:sz w:val="24"/>
                <w:szCs w:val="24"/>
                <w:highlight w:val="none"/>
                <w:shd w:val="clear" w:color="auto" w:fill="auto"/>
                <w:vertAlign w:val="baseline"/>
                <w:lang w:val="en-US" w:eastAsia="zh-CN"/>
              </w:rPr>
            </w:pPr>
            <w:r>
              <w:rPr>
                <w:rFonts w:hint="eastAsia" w:ascii="楷体" w:hAnsi="楷体" w:eastAsia="楷体" w:cs="楷体"/>
                <w:b/>
                <w:bCs/>
                <w:color w:val="auto"/>
                <w:sz w:val="24"/>
                <w:szCs w:val="24"/>
                <w:highlight w:val="none"/>
                <w:shd w:val="clear" w:color="auto" w:fill="auto"/>
                <w:vertAlign w:val="baseline"/>
                <w:lang w:val="en-US" w:eastAsia="zh-CN"/>
              </w:rPr>
              <w:t>编号</w:t>
            </w:r>
          </w:p>
        </w:tc>
        <w:tc>
          <w:tcPr>
            <w:tcW w:w="1469" w:type="dxa"/>
            <w:noWrap w:val="0"/>
            <w:vAlign w:val="center"/>
          </w:tcPr>
          <w:p w14:paraId="09519A1D">
            <w:pPr>
              <w:numPr>
                <w:ilvl w:val="0"/>
                <w:numId w:val="0"/>
              </w:numPr>
              <w:tabs>
                <w:tab w:val="left" w:pos="403"/>
              </w:tabs>
              <w:spacing w:line="240" w:lineRule="auto"/>
              <w:jc w:val="center"/>
              <w:rPr>
                <w:rFonts w:hint="default" w:ascii="楷体" w:hAnsi="楷体" w:eastAsia="楷体" w:cs="楷体"/>
                <w:b/>
                <w:bCs/>
                <w:color w:val="auto"/>
                <w:sz w:val="24"/>
                <w:szCs w:val="24"/>
                <w:highlight w:val="none"/>
                <w:shd w:val="clear" w:color="auto" w:fill="auto"/>
                <w:vertAlign w:val="baseline"/>
                <w:lang w:val="en-US" w:eastAsia="zh-CN"/>
              </w:rPr>
            </w:pPr>
            <w:r>
              <w:rPr>
                <w:rFonts w:hint="eastAsia" w:ascii="楷体" w:hAnsi="楷体" w:eastAsia="楷体" w:cs="楷体"/>
                <w:b/>
                <w:bCs/>
                <w:color w:val="auto"/>
                <w:sz w:val="24"/>
                <w:szCs w:val="24"/>
                <w:highlight w:val="none"/>
                <w:shd w:val="clear" w:color="auto" w:fill="auto"/>
                <w:vertAlign w:val="baseline"/>
                <w:lang w:val="en-US" w:eastAsia="zh-CN"/>
              </w:rPr>
              <w:t>标的名称</w:t>
            </w:r>
          </w:p>
        </w:tc>
        <w:tc>
          <w:tcPr>
            <w:tcW w:w="1845" w:type="dxa"/>
            <w:noWrap w:val="0"/>
            <w:vAlign w:val="center"/>
          </w:tcPr>
          <w:p w14:paraId="67145583">
            <w:pPr>
              <w:numPr>
                <w:ilvl w:val="0"/>
                <w:numId w:val="0"/>
              </w:numPr>
              <w:tabs>
                <w:tab w:val="left" w:pos="403"/>
              </w:tabs>
              <w:spacing w:line="240" w:lineRule="auto"/>
              <w:jc w:val="center"/>
              <w:rPr>
                <w:rFonts w:hint="default" w:ascii="楷体" w:hAnsi="楷体" w:eastAsia="楷体" w:cs="楷体"/>
                <w:b/>
                <w:bCs/>
                <w:color w:val="auto"/>
                <w:sz w:val="24"/>
                <w:szCs w:val="24"/>
                <w:highlight w:val="none"/>
                <w:shd w:val="clear" w:color="auto" w:fill="auto"/>
                <w:vertAlign w:val="baseline"/>
                <w:lang w:val="en-US" w:eastAsia="zh-CN"/>
              </w:rPr>
            </w:pPr>
            <w:r>
              <w:rPr>
                <w:rFonts w:hint="eastAsia" w:ascii="楷体" w:hAnsi="楷体" w:eastAsia="楷体" w:cs="楷体"/>
                <w:b/>
                <w:bCs/>
                <w:color w:val="auto"/>
                <w:sz w:val="24"/>
                <w:szCs w:val="24"/>
                <w:highlight w:val="none"/>
                <w:shd w:val="clear" w:color="auto" w:fill="auto"/>
                <w:vertAlign w:val="baseline"/>
                <w:lang w:val="en-US" w:eastAsia="zh-CN"/>
              </w:rPr>
              <w:t>★耗材代码</w:t>
            </w:r>
          </w:p>
        </w:tc>
        <w:tc>
          <w:tcPr>
            <w:tcW w:w="4722" w:type="dxa"/>
            <w:noWrap w:val="0"/>
            <w:vAlign w:val="center"/>
          </w:tcPr>
          <w:p w14:paraId="1AB66B0E">
            <w:pPr>
              <w:numPr>
                <w:ilvl w:val="0"/>
                <w:numId w:val="0"/>
              </w:numPr>
              <w:tabs>
                <w:tab w:val="left" w:pos="403"/>
              </w:tabs>
              <w:spacing w:line="240" w:lineRule="auto"/>
              <w:jc w:val="center"/>
              <w:rPr>
                <w:rFonts w:hint="eastAsia" w:ascii="楷体" w:hAnsi="楷体" w:eastAsia="楷体" w:cs="楷体"/>
                <w:b/>
                <w:bCs/>
                <w:color w:val="auto"/>
                <w:sz w:val="24"/>
                <w:szCs w:val="24"/>
                <w:highlight w:val="none"/>
                <w:shd w:val="clear" w:color="auto" w:fill="auto"/>
                <w:vertAlign w:val="baseline"/>
                <w:lang w:val="en-US" w:eastAsia="zh-CN"/>
              </w:rPr>
            </w:pPr>
            <w:r>
              <w:rPr>
                <w:rFonts w:hint="eastAsia" w:ascii="楷体" w:hAnsi="楷体" w:eastAsia="楷体" w:cs="楷体"/>
                <w:b/>
                <w:bCs/>
                <w:color w:val="auto"/>
                <w:sz w:val="24"/>
                <w:szCs w:val="24"/>
                <w:highlight w:val="none"/>
                <w:shd w:val="clear" w:color="auto" w:fill="auto"/>
                <w:vertAlign w:val="baseline"/>
                <w:lang w:val="en-US" w:eastAsia="zh-CN"/>
              </w:rPr>
              <w:t>★预期用途</w:t>
            </w:r>
          </w:p>
        </w:tc>
      </w:tr>
      <w:tr w14:paraId="65B66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2AA7C7AC">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w:t>
            </w:r>
          </w:p>
        </w:tc>
        <w:tc>
          <w:tcPr>
            <w:tcW w:w="1469" w:type="dxa"/>
            <w:noWrap w:val="0"/>
            <w:vAlign w:val="center"/>
          </w:tcPr>
          <w:p w14:paraId="6B81CC6D">
            <w:pPr>
              <w:keepNext w:val="0"/>
              <w:keepLines w:val="0"/>
              <w:widowControl/>
              <w:suppressLineNumbers w:val="0"/>
              <w:jc w:val="center"/>
              <w:textAlignment w:val="center"/>
              <w:rPr>
                <w:rFonts w:hint="eastAsia" w:ascii="仿宋" w:hAnsi="仿宋" w:eastAsia="仿宋" w:cs="仿宋"/>
                <w:sz w:val="22"/>
                <w:szCs w:val="22"/>
                <w:lang w:val="en-US" w:eastAsia="zh-CN"/>
              </w:rPr>
            </w:pPr>
            <w:r>
              <w:rPr>
                <w:rFonts w:hint="eastAsia" w:ascii="仿宋" w:hAnsi="仿宋" w:eastAsia="仿宋" w:cs="仿宋"/>
                <w:sz w:val="22"/>
                <w:szCs w:val="22"/>
              </w:rPr>
              <w:t>软性亲水接触镜</w:t>
            </w:r>
          </w:p>
        </w:tc>
        <w:tc>
          <w:tcPr>
            <w:tcW w:w="1845" w:type="dxa"/>
            <w:noWrap w:val="0"/>
            <w:vAlign w:val="center"/>
          </w:tcPr>
          <w:p w14:paraId="31A292EB">
            <w:pPr>
              <w:keepNext w:val="0"/>
              <w:keepLines w:val="0"/>
              <w:widowControl/>
              <w:suppressLineNumbers w:val="0"/>
              <w:jc w:val="center"/>
              <w:textAlignment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C080805000</w:t>
            </w:r>
          </w:p>
        </w:tc>
        <w:tc>
          <w:tcPr>
            <w:tcW w:w="4722" w:type="dxa"/>
            <w:noWrap w:val="0"/>
            <w:vAlign w:val="center"/>
          </w:tcPr>
          <w:p w14:paraId="60A2141A">
            <w:pPr>
              <w:keepNext w:val="0"/>
              <w:keepLines w:val="0"/>
              <w:widowControl/>
              <w:suppressLineNumbers w:val="0"/>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用于近视激光术后、翼状胬肉术后及角膜上损伤患者，保护角膜、促进角膜上皮修复。</w:t>
            </w:r>
          </w:p>
        </w:tc>
      </w:tr>
    </w:tbl>
    <w:p w14:paraId="64C8C9CE">
      <w:pPr>
        <w:pStyle w:val="6"/>
        <w:spacing w:line="360" w:lineRule="auto"/>
        <w:jc w:val="left"/>
        <w:outlineLvl w:val="2"/>
        <w:rPr>
          <w:rFonts w:hint="eastAsia" w:ascii="仿宋" w:hAnsi="仿宋" w:eastAsia="仿宋" w:cs="仿宋"/>
          <w:b/>
          <w:bCs/>
          <w:sz w:val="24"/>
          <w:szCs w:val="24"/>
        </w:rPr>
      </w:pPr>
    </w:p>
    <w:p w14:paraId="153822F1">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1"/>
        <w:rPr>
          <w:rFonts w:hint="eastAsia" w:ascii="仿宋" w:hAnsi="仿宋" w:eastAsia="仿宋" w:cs="仿宋"/>
          <w:b/>
          <w:sz w:val="24"/>
          <w:szCs w:val="24"/>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eastAsia="仿宋" w:cs="Times New Roman"/>
          <w:b/>
          <w:bCs/>
          <w:color w:val="auto"/>
          <w:sz w:val="24"/>
          <w:szCs w:val="24"/>
          <w:highlight w:val="none"/>
          <w:shd w:val="clear" w:color="auto" w:fill="auto"/>
          <w:lang w:val="en-US" w:eastAsia="zh-CN"/>
        </w:rPr>
        <w:t>三</w:t>
      </w:r>
      <w:r>
        <w:rPr>
          <w:rFonts w:hint="eastAsia" w:ascii="仿宋" w:hAnsi="仿宋" w:eastAsia="仿宋" w:cs="仿宋"/>
          <w:b/>
          <w:sz w:val="24"/>
          <w:szCs w:val="24"/>
          <w:lang w:eastAsia="zh-CN"/>
        </w:rPr>
        <w:t>、挂网需求</w:t>
      </w:r>
    </w:p>
    <w:p w14:paraId="1E6C68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1.本项目所有标的均须提供挂网产品。</w:t>
      </w:r>
    </w:p>
    <w:p w14:paraId="199F4E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注：本项目中所指“挂网产品”，为“四川省药品和医用耗材招采管理系统”中已挂网产品（不含正在挂网和备案的产品）。</w:t>
      </w:r>
    </w:p>
    <w:p w14:paraId="78A0E740">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★四、样品要求</w:t>
      </w:r>
    </w:p>
    <w:p w14:paraId="4EEF26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1.必须提供样品，以供评审专家现场评审。（如响应的同一标的存在材质相同的多个型号，可提供其中一样作为样品）</w:t>
      </w:r>
    </w:p>
    <w:p w14:paraId="125F9B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2.提交的样品不符合实际需求或存在原理错误则视为无效响应。</w:t>
      </w:r>
    </w:p>
    <w:p w14:paraId="17D3EF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1"/>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3.本项目投标人提供的样品，应与该投标人响应文件保持一致（具体参考《医疗器械说明书和标签管理规定》）。</w:t>
      </w:r>
    </w:p>
    <w:p w14:paraId="09E5F14D">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★五、商务要求：</w:t>
      </w:r>
    </w:p>
    <w:p w14:paraId="0B10F79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（一）</w:t>
      </w:r>
      <w:r>
        <w:rPr>
          <w:rFonts w:hint="eastAsia" w:ascii="楷体" w:hAnsi="楷体" w:eastAsia="楷体" w:cs="楷体"/>
          <w:b/>
          <w:bCs/>
          <w:color w:val="auto"/>
          <w:sz w:val="24"/>
          <w:szCs w:val="24"/>
          <w:highlight w:val="none"/>
          <w:shd w:val="clear" w:color="auto" w:fill="auto"/>
          <w:lang w:val="en-US" w:eastAsia="zh-CN"/>
        </w:rPr>
        <w:t>服务期限及地点</w:t>
      </w:r>
    </w:p>
    <w:p w14:paraId="0CE4973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1、服务期限：</w:t>
      </w:r>
      <w:r>
        <w:rPr>
          <w:rFonts w:hint="eastAsia" w:ascii="Times New Roman" w:hAnsi="Times New Roman" w:eastAsia="仿宋" w:cs="Times New Roman"/>
          <w:color w:val="auto"/>
          <w:sz w:val="24"/>
          <w:highlight w:val="none"/>
          <w:u w:val="single"/>
          <w:shd w:val="clear" w:color="auto" w:fill="auto"/>
          <w:lang w:val="en-US" w:eastAsia="zh-CN"/>
        </w:rPr>
        <w:t>配送服务期</w:t>
      </w:r>
      <w:r>
        <w:rPr>
          <w:rFonts w:hint="eastAsia" w:eastAsia="仿宋" w:cs="Times New Roman"/>
          <w:color w:val="auto"/>
          <w:sz w:val="24"/>
          <w:highlight w:val="none"/>
          <w:u w:val="single"/>
          <w:shd w:val="clear" w:color="auto" w:fill="auto"/>
          <w:lang w:val="en-US" w:eastAsia="zh-CN"/>
        </w:rPr>
        <w:t>1</w:t>
      </w:r>
      <w:r>
        <w:rPr>
          <w:rFonts w:hint="eastAsia" w:ascii="Times New Roman" w:hAnsi="Times New Roman" w:eastAsia="仿宋" w:cs="Times New Roman"/>
          <w:color w:val="auto"/>
          <w:sz w:val="24"/>
          <w:highlight w:val="none"/>
          <w:u w:val="single"/>
          <w:shd w:val="clear" w:color="auto" w:fill="auto"/>
          <w:lang w:val="en-US" w:eastAsia="zh-CN"/>
        </w:rPr>
        <w:t>年</w:t>
      </w:r>
      <w:r>
        <w:rPr>
          <w:rFonts w:hint="eastAsia" w:eastAsia="仿宋" w:cs="Times New Roman"/>
          <w:color w:val="auto"/>
          <w:sz w:val="24"/>
          <w:highlight w:val="none"/>
          <w:u w:val="single"/>
          <w:shd w:val="clear" w:color="auto" w:fill="auto"/>
          <w:lang w:val="en-US" w:eastAsia="zh-CN"/>
        </w:rPr>
        <w:t>。</w:t>
      </w:r>
    </w:p>
    <w:p w14:paraId="2460575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2、每次配送时间必须严格按照采购人配送通知执行，中选人应于收到通知后2小时内响应。急用产品的配送时间不应超过4小时，一般产品原则上的配送时间不应超过2个工作日。</w:t>
      </w:r>
    </w:p>
    <w:p w14:paraId="2E7D224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sz w:val="24"/>
          <w:szCs w:val="24"/>
          <w:lang w:val="en-US" w:eastAsia="zh-CN"/>
        </w:rPr>
      </w:pPr>
      <w:r>
        <w:rPr>
          <w:rFonts w:hint="eastAsia" w:ascii="仿宋" w:hAnsi="仿宋" w:eastAsia="仿宋" w:cs="仿宋"/>
          <w:color w:val="000000"/>
          <w:sz w:val="24"/>
          <w:szCs w:val="24"/>
          <w:lang w:val="en-US" w:eastAsia="zh-CN"/>
        </w:rPr>
        <w:t>3、服务地点：内江市第一人民医院院内。</w:t>
      </w:r>
    </w:p>
    <w:p w14:paraId="5BE795A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（二）付款方法和条件</w:t>
      </w:r>
    </w:p>
    <w:p w14:paraId="7AA2B09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1、结算方式：双方同意以采购人财务制度规定的付款时间及付款要求进行结算，投标人已完全了解并清楚采购人的财务制度，投标人对采购人财务制度规定的付款要求及付款时间不持异议。</w:t>
      </w:r>
    </w:p>
    <w:p w14:paraId="397F600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2、成交价格包含成本、运输、包装、培训、配送、伴随服务、税费及其他附加费用等一切费用。</w:t>
      </w:r>
    </w:p>
    <w:p w14:paraId="490EF0A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3、若本项目中限定了标的数量或金额，中标人应严格按照响应内容执行，采购人有权拒绝支付超出响应范围的任何内容。</w:t>
      </w:r>
    </w:p>
    <w:p w14:paraId="6C39801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（三）验收、交付标准和方法</w:t>
      </w:r>
    </w:p>
    <w:p w14:paraId="28E1D1D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按照《财政部关于进一步加强政府采购需求和履约验收管理的指导意见》（财库〔2016〕205号）的要求以及采购人招标文件的质量要求和技术指标、中选人的投标文件及承诺（若有）、国家（行业）标准、采购合同约定标准进行验收；</w:t>
      </w:r>
    </w:p>
    <w:p w14:paraId="25F1B1D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验收时如发现所配送的货物有短装、次品、损坏或其他不符合验收标准的，采购人应做出详尽的现场记录，此现场记录或备忘录可用作补充、缺失和更换损坏部件的有效证据，由此产生的时间延误与有关费用由中选人承担，验收期限相应顺延；</w:t>
      </w:r>
    </w:p>
    <w:p w14:paraId="76BD10F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若所配送货物不符合验收标准，中选人经过2次更换后仍不能达到验收质量标准，则视为验收不合格，采购人有权全部（或部分）退货或解除合同。接到采购人退货通知，中选人除应及时运走采购人退还的货物外（若涉及费用或损失均由中选人自行承担），还应向采购人承担相应的违约责任。</w:t>
      </w:r>
    </w:p>
    <w:p w14:paraId="7F5B478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4.其他未尽事宜严格按照《财政部关于进一步加强政府采购需求和履约验收管理的指导意见》（财库〔2016〕205号）的要求进行。</w:t>
      </w:r>
    </w:p>
    <w:p w14:paraId="690A282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5.所配送耗材的技术参数与性能指标中涉及到的国家标准、行业标准或地方标准，若有最新标准以最新标准为准。</w:t>
      </w:r>
    </w:p>
    <w:p w14:paraId="538D6D5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bCs/>
          <w:color w:val="000000"/>
          <w:sz w:val="24"/>
          <w:szCs w:val="24"/>
          <w:lang w:val="en-US" w:eastAsia="zh-CN"/>
        </w:rPr>
        <w:t>（四）售后服务</w:t>
      </w:r>
    </w:p>
    <w:p w14:paraId="13F2C74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要求中选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5DBF80D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auto"/>
          <w:sz w:val="24"/>
          <w:szCs w:val="24"/>
          <w:lang w:val="en-US" w:eastAsia="zh-CN"/>
        </w:rPr>
      </w:pPr>
      <w:r>
        <w:rPr>
          <w:rFonts w:hint="eastAsia" w:ascii="仿宋" w:hAnsi="仿宋" w:eastAsia="仿宋" w:cs="仿宋"/>
          <w:b w:val="0"/>
          <w:bCs w:val="0"/>
          <w:color w:val="000000"/>
          <w:sz w:val="24"/>
          <w:szCs w:val="24"/>
          <w:lang w:val="en-US" w:eastAsia="zh-CN"/>
        </w:rPr>
        <w:t>2.要求中选人指派专人负责与采购人联系售后服务事宜；</w:t>
      </w:r>
      <w:r>
        <w:rPr>
          <w:rFonts w:hint="eastAsia" w:ascii="仿宋" w:hAnsi="仿宋" w:eastAsia="仿宋" w:cs="仿宋"/>
          <w:b/>
          <w:bCs/>
          <w:color w:val="000000"/>
          <w:sz w:val="24"/>
          <w:szCs w:val="24"/>
          <w:lang w:val="en-US" w:eastAsia="zh-CN"/>
        </w:rPr>
        <w:t>在投标文件中列明售后联系人及联系电话。</w:t>
      </w:r>
      <w:r>
        <w:rPr>
          <w:rFonts w:hint="eastAsia" w:ascii="仿宋" w:hAnsi="仿宋" w:eastAsia="仿宋" w:cs="仿宋"/>
          <w:b/>
          <w:bCs/>
          <w:color w:val="auto"/>
          <w:sz w:val="24"/>
          <w:szCs w:val="24"/>
          <w:lang w:val="en-US" w:eastAsia="zh-CN"/>
        </w:rPr>
        <w:t>（列明售后联系人及联系电话，不列明为无效响应）</w:t>
      </w:r>
    </w:p>
    <w:p w14:paraId="0B47B05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要求中选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760DD2D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4.耗材临近失效期，采购人提前三个月向中选人提出更换，中选人须在耗材失效前一个月更换完毕，不得以任何理由进行推诿。</w:t>
      </w:r>
    </w:p>
    <w:p w14:paraId="2C6A2A1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5.中选人必须随货提供其具备医疗器械经营企业的有关合法有效的手续（包括但不限于）：</w:t>
      </w:r>
    </w:p>
    <w:p w14:paraId="7500011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5.1产品所涉及逐级授权经销商的医疗器械生产（经营）许可证或生产（经营）企业备案表；</w:t>
      </w:r>
    </w:p>
    <w:p w14:paraId="68F8EBF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5.2医疗器械产品注册证或备案凭证；</w:t>
      </w:r>
    </w:p>
    <w:p w14:paraId="2F7156B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5.3医疗器械生产企业许可证；</w:t>
      </w:r>
    </w:p>
    <w:p w14:paraId="133B262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5.4经销商获得的委托授权书（逐级）；</w:t>
      </w:r>
    </w:p>
    <w:p w14:paraId="53D3D8A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5.5产品所涉及逐级授权经销商的企业法人营业执照。</w:t>
      </w:r>
    </w:p>
    <w:p w14:paraId="1457E99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5.6采购人要求提供的相关资料。</w:t>
      </w:r>
    </w:p>
    <w:p w14:paraId="34F9963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选人或厂家原因无法按上述要求执行的，则采购人可以部分解除采购合同。</w:t>
      </w:r>
    </w:p>
    <w:p w14:paraId="4887CD0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bCs/>
          <w:color w:val="000000"/>
          <w:sz w:val="24"/>
          <w:szCs w:val="24"/>
          <w:lang w:val="en-US" w:eastAsia="zh-CN"/>
        </w:rPr>
        <w:t>（五）配送医用耗材质量保证</w:t>
      </w:r>
    </w:p>
    <w:p w14:paraId="70A001B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1、中标人须配送原厂生产的未曾使用过的、全新的合格的货品（含配套配件等），表面无划伤、无破损痕迹，且权属清楚，不得侵害他人的合法权利。</w:t>
      </w:r>
    </w:p>
    <w:p w14:paraId="544DC81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中标人所配送货品须符合或优于国家（行业）标准、本项目招标文件要求及投标文件响应内容。当投标文件响应内容与招标文件要求不一致时，以文件响应内容为准。当投标文件响应内容与国家标准、行业标准（若有）不一致时，以较高标准为准。</w:t>
      </w:r>
    </w:p>
    <w:p w14:paraId="7D8503C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3、中标人配送货品的设计技术专利、外形专利等均应符合我国有关法律法规及行业标准，凡因以上问题与第三方发生的任何纠纷，由中标人承担全部责任，中标人还应负责赔偿采购人由此而遭受的全部损失。</w:t>
      </w:r>
    </w:p>
    <w:p w14:paraId="7A4D354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4、中标人保证其配送货品的安全可靠性。在正常使用下不应对使用者造成任何人身伤害，如因产品质量或标识不明确而对使用者造成损失的，由中标人承担相应责任。</w:t>
      </w:r>
    </w:p>
    <w:p w14:paraId="3471EEA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53929BD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6、中标人保证所供耗材有效期不低于1年，自通过最终验收之日起，确保采购人在使用耗材的过程中安全、有效。</w:t>
      </w:r>
    </w:p>
    <w:p w14:paraId="3C38A2E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 xml:space="preserve">（六）包装和运输 </w:t>
      </w:r>
    </w:p>
    <w:p w14:paraId="7B9A8E5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 xml:space="preserve">（1）中标人须严格按照《商品包装政府采购需求标准(试行)》、《快递包装政府采购需 求标准(试行)》(财办库〔2020〕123 号)的要求进行产品及相关快递服务的包装。 </w:t>
      </w:r>
    </w:p>
    <w:p w14:paraId="44E4236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 xml:space="preserve">（2）中标人应当按照约定的方式交付标的物。对于包装方式没有约定或者约定不明确的，应当按照通用的方式包装；没有通用方式的，应当采取足以保护标的物且有利于节约资源，保护生态环境的包装方式。 </w:t>
      </w:r>
    </w:p>
    <w:p w14:paraId="7513630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（3）本次采购的标的物需要运输，投标人在合同约定的时间内将标的物运输至合同约定地点。</w:t>
      </w:r>
    </w:p>
    <w:p w14:paraId="5EEC81C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eastAsia="仿宋" w:cs="Times New Roman"/>
          <w:b/>
          <w:bCs/>
          <w:color w:val="auto"/>
          <w:sz w:val="24"/>
          <w:szCs w:val="24"/>
          <w:highlight w:val="none"/>
          <w:shd w:val="clear" w:color="auto" w:fill="auto"/>
          <w:lang w:val="en-US" w:eastAsia="zh-CN"/>
        </w:rPr>
        <w:t>六</w:t>
      </w:r>
      <w:r>
        <w:rPr>
          <w:rFonts w:hint="eastAsia" w:ascii="仿宋" w:hAnsi="仿宋" w:eastAsia="仿宋" w:cs="仿宋"/>
          <w:b/>
          <w:bCs/>
          <w:color w:val="000000"/>
          <w:sz w:val="24"/>
          <w:szCs w:val="24"/>
          <w:lang w:val="en-US" w:eastAsia="zh-CN"/>
        </w:rPr>
        <w:t>、合同管理</w:t>
      </w:r>
    </w:p>
    <w:p w14:paraId="11C137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000000"/>
          <w:sz w:val="24"/>
          <w:szCs w:val="24"/>
          <w:lang w:val="en-US" w:eastAsia="zh-CN"/>
        </w:rPr>
        <w:t>1、</w:t>
      </w:r>
      <w:r>
        <w:rPr>
          <w:rFonts w:hint="eastAsia" w:ascii="仿宋" w:hAnsi="仿宋" w:eastAsia="仿宋" w:cs="仿宋"/>
          <w:color w:val="auto"/>
          <w:sz w:val="24"/>
          <w:szCs w:val="24"/>
          <w:highlight w:val="none"/>
          <w:shd w:val="clear" w:color="auto" w:fill="auto"/>
          <w:lang w:eastAsia="zh-CN"/>
        </w:rPr>
        <w:t>是否为据实结算：☑是□</w:t>
      </w:r>
      <w:r>
        <w:rPr>
          <w:rFonts w:hint="eastAsia" w:ascii="仿宋" w:hAnsi="仿宋" w:eastAsia="仿宋" w:cs="仿宋"/>
          <w:color w:val="auto"/>
          <w:sz w:val="24"/>
          <w:szCs w:val="24"/>
          <w:highlight w:val="none"/>
          <w:shd w:val="clear" w:color="auto" w:fill="auto"/>
        </w:rPr>
        <w:t>否</w:t>
      </w:r>
    </w:p>
    <w:p w14:paraId="7A55EB1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合同履行期限：</w:t>
      </w:r>
      <w:r>
        <w:rPr>
          <w:rFonts w:hint="eastAsia" w:ascii="仿宋" w:hAnsi="仿宋" w:eastAsia="仿宋" w:cs="仿宋"/>
          <w:color w:val="auto"/>
          <w:sz w:val="24"/>
          <w:szCs w:val="24"/>
          <w:highlight w:val="none"/>
          <w:shd w:val="clear" w:color="auto" w:fill="auto"/>
          <w:lang w:val="en-US" w:eastAsia="zh-CN"/>
        </w:rPr>
        <w:t>1年。</w:t>
      </w:r>
    </w:p>
    <w:p w14:paraId="1B7C96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合同支付约定：</w:t>
      </w:r>
      <w:r>
        <w:rPr>
          <w:rFonts w:hint="eastAsia" w:ascii="仿宋" w:hAnsi="仿宋" w:eastAsia="仿宋" w:cs="仿宋"/>
          <w:color w:val="auto"/>
          <w:sz w:val="24"/>
          <w:szCs w:val="24"/>
          <w:highlight w:val="none"/>
          <w:u w:val="none"/>
          <w:shd w:val="clear" w:color="auto" w:fill="auto"/>
          <w:lang w:val="en-US" w:eastAsia="zh-CN"/>
        </w:rPr>
        <w:t>双方同意以采购人财务制度规定的付款时间及付款要求进行结算，投标人已完全了解并清楚采购人的财务制度，投标人对采购人财务制度规定的付款要求及付款时间不持异议。</w:t>
      </w:r>
    </w:p>
    <w:p w14:paraId="10F790D8">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color w:val="000000"/>
          <w:sz w:val="24"/>
          <w:szCs w:val="24"/>
          <w:shd w:val="clear"/>
        </w:rPr>
      </w:pPr>
      <w:r>
        <w:rPr>
          <w:rFonts w:hint="eastAsia" w:ascii="仿宋" w:hAnsi="仿宋" w:eastAsia="仿宋" w:cs="仿宋"/>
          <w:b w:val="0"/>
          <w:bCs w:val="0"/>
          <w:color w:val="000000"/>
          <w:sz w:val="24"/>
          <w:szCs w:val="24"/>
          <w:shd w:val="clear"/>
          <w:lang w:val="en-US" w:eastAsia="zh-CN"/>
        </w:rPr>
        <w:t>4、</w:t>
      </w:r>
      <w:r>
        <w:rPr>
          <w:rFonts w:hint="eastAsia" w:ascii="仿宋" w:hAnsi="仿宋" w:eastAsia="仿宋" w:cs="仿宋"/>
          <w:b w:val="0"/>
          <w:bCs w:val="0"/>
          <w:color w:val="000000"/>
          <w:sz w:val="24"/>
          <w:szCs w:val="24"/>
          <w:shd w:val="clear"/>
        </w:rPr>
        <w:t>违约责任与解决争议的方法：</w:t>
      </w:r>
    </w:p>
    <w:p w14:paraId="0AF7D16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4.1</w:t>
      </w:r>
      <w:r>
        <w:rPr>
          <w:rFonts w:hint="eastAsia" w:ascii="仿宋" w:hAnsi="仿宋" w:eastAsia="仿宋" w:cs="仿宋"/>
          <w:color w:val="auto"/>
          <w:sz w:val="24"/>
          <w:szCs w:val="24"/>
          <w:highlight w:val="none"/>
          <w:shd w:val="clear" w:color="auto" w:fill="auto"/>
        </w:rPr>
        <w:t>违约责任</w:t>
      </w:r>
    </w:p>
    <w:p w14:paraId="030895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（1）中选人逾期15日内不能配送采购人所需医用耗材的，应向采购人每日支付该批次货款千分之三的违约金。</w:t>
      </w:r>
    </w:p>
    <w:p w14:paraId="3E6F75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（2）中选人逾期15日及以上不能配送以上产品的，视同不能供货，须向采购人支付该批次货款的10%的违约金，同时采购人可以单方面解除采购合同。</w:t>
      </w:r>
    </w:p>
    <w:p w14:paraId="4B7D72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（3）若因中选人原因造成采购人被监管部门通报三次及以上或者造成采购人违规采购，采购人有权单方面解除采购合同。同时，采购人有权要求中选人支付该批货物价款20%的违约金。</w:t>
      </w:r>
    </w:p>
    <w:p w14:paraId="26D955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4）中选人销售的产品若发生严重医疗不良事件或被国家法定检测机构检测为不合格产品，视为中选人违约导致不能实现采购合同目的，采购人有权单方面解除采购合同，并要求中选人限期收回不合格产品，并要求中选人需承担合同价款20%的违约金，违约金不足以弥补采购人损失的，中选人还应当补足。即使产品已经验收入库（或安装调试完毕）后，采购人才发现产品为不合格产品的，也视为中选人违约，中选人应当承担本条约定的责任。同时采购人有权退回库存产品。</w:t>
      </w:r>
    </w:p>
    <w:p w14:paraId="6EEF12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（5）若根据法律规定或协议约定产生采购人退、换货或拒绝收货情形，由中选人承担退换货产生的各项税、费或其他支出。</w:t>
      </w:r>
    </w:p>
    <w:p w14:paraId="23BD21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（6）中选人不能保证及时供货，除应当向采购人承担违约责任外，采购人仍有权单方面解除采购合同。</w:t>
      </w:r>
    </w:p>
    <w:p w14:paraId="73E4F6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（7）因中选人配送的产品不合格造成采购人或第三人人身损害或财产损失的，由中选人承担赔偿责任。</w:t>
      </w:r>
    </w:p>
    <w:p w14:paraId="4AE3E8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8）若因中选人原因造成采购人挂网执行存在问题以及线上支付不及时、造成采购人未挂网采购或者存在其他问题的，中选人应承担违约责任，且采购人有权要求中选人支付该批货物价款20%的违约金，采购人有权单方面解除合同。</w:t>
      </w:r>
    </w:p>
    <w:p w14:paraId="64C9EE7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eastAsia="zh-CN"/>
        </w:rPr>
      </w:pPr>
      <w:r>
        <w:rPr>
          <w:rFonts w:hint="eastAsia" w:ascii="仿宋" w:hAnsi="仿宋" w:eastAsia="仿宋" w:cs="仿宋"/>
          <w:color w:val="auto"/>
          <w:sz w:val="24"/>
          <w:szCs w:val="24"/>
          <w:highlight w:val="none"/>
          <w:shd w:val="clear" w:color="auto" w:fill="auto"/>
          <w:lang w:val="en-US" w:eastAsia="zh-CN"/>
        </w:rPr>
        <w:t>4.2</w:t>
      </w:r>
      <w:r>
        <w:rPr>
          <w:rFonts w:hint="eastAsia" w:ascii="仿宋" w:hAnsi="仿宋" w:eastAsia="仿宋" w:cs="仿宋"/>
          <w:color w:val="auto"/>
          <w:sz w:val="24"/>
          <w:szCs w:val="24"/>
          <w:highlight w:val="none"/>
          <w:shd w:val="clear" w:color="auto" w:fill="auto"/>
        </w:rPr>
        <w:t>解决合同纠纷的方式</w:t>
      </w:r>
      <w:r>
        <w:rPr>
          <w:rFonts w:hint="eastAsia" w:ascii="仿宋" w:hAnsi="仿宋" w:eastAsia="仿宋" w:cs="仿宋"/>
          <w:color w:val="auto"/>
          <w:sz w:val="24"/>
          <w:szCs w:val="24"/>
          <w:highlight w:val="none"/>
          <w:shd w:val="clear" w:color="auto" w:fill="auto"/>
          <w:lang w:eastAsia="zh-CN"/>
        </w:rPr>
        <w:t>：</w:t>
      </w:r>
    </w:p>
    <w:p w14:paraId="663073D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bidi="zh-CN"/>
        </w:rPr>
      </w:pPr>
      <w:r>
        <w:rPr>
          <w:rFonts w:hint="eastAsia" w:ascii="仿宋" w:hAnsi="仿宋" w:eastAsia="仿宋" w:cs="仿宋"/>
          <w:color w:val="000000"/>
          <w:kern w:val="0"/>
          <w:sz w:val="24"/>
          <w:szCs w:val="24"/>
          <w:highlight w:val="none"/>
          <w:shd w:val="clear" w:color="auto" w:fill="auto"/>
          <w:lang w:bidi="zh-CN"/>
        </w:rPr>
        <w:t>（</w:t>
      </w:r>
      <w:r>
        <w:rPr>
          <w:rFonts w:hint="eastAsia" w:ascii="仿宋" w:hAnsi="仿宋" w:eastAsia="仿宋" w:cs="仿宋"/>
          <w:color w:val="000000"/>
          <w:kern w:val="0"/>
          <w:sz w:val="24"/>
          <w:szCs w:val="24"/>
          <w:highlight w:val="none"/>
          <w:shd w:val="clear" w:color="auto" w:fill="auto"/>
          <w:lang w:val="en-US" w:bidi="zh-CN"/>
        </w:rPr>
        <w:t>1</w:t>
      </w:r>
      <w:r>
        <w:rPr>
          <w:rFonts w:hint="eastAsia" w:ascii="仿宋" w:hAnsi="仿宋" w:eastAsia="仿宋" w:cs="仿宋"/>
          <w:color w:val="000000"/>
          <w:kern w:val="0"/>
          <w:sz w:val="24"/>
          <w:szCs w:val="24"/>
          <w:highlight w:val="none"/>
          <w:shd w:val="clear" w:color="auto" w:fill="auto"/>
          <w:lang w:bidi="zh-CN"/>
        </w:rPr>
        <w:t>）因货物的质量问题发生的争议，由法定质量鉴定机构或其认可的质量鉴定机构进行质量鉴定。货物符合标准的，鉴定费由采购人承担；货物不符合质量标准的，鉴定费由中选人承担。</w:t>
      </w:r>
    </w:p>
    <w:p w14:paraId="4F1DC7A2">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000000"/>
          <w:kern w:val="0"/>
          <w:sz w:val="24"/>
          <w:szCs w:val="24"/>
          <w:highlight w:val="none"/>
          <w:shd w:val="clear" w:color="auto" w:fill="auto"/>
          <w:lang w:bidi="zh-CN"/>
        </w:rPr>
        <w:t>（</w:t>
      </w:r>
      <w:r>
        <w:rPr>
          <w:rFonts w:hint="eastAsia" w:ascii="仿宋" w:hAnsi="仿宋" w:eastAsia="仿宋" w:cs="仿宋"/>
          <w:color w:val="000000"/>
          <w:kern w:val="0"/>
          <w:sz w:val="24"/>
          <w:szCs w:val="24"/>
          <w:highlight w:val="none"/>
          <w:shd w:val="clear" w:color="auto" w:fill="auto"/>
          <w:lang w:val="en-US" w:bidi="zh-CN"/>
        </w:rPr>
        <w:t>2</w:t>
      </w:r>
      <w:r>
        <w:rPr>
          <w:rFonts w:hint="eastAsia" w:ascii="仿宋" w:hAnsi="仿宋" w:eastAsia="仿宋" w:cs="仿宋"/>
          <w:color w:val="000000"/>
          <w:kern w:val="0"/>
          <w:sz w:val="24"/>
          <w:szCs w:val="24"/>
          <w:highlight w:val="none"/>
          <w:shd w:val="clear" w:color="auto" w:fill="auto"/>
          <w:lang w:bidi="zh-CN"/>
        </w:rPr>
        <w:t>）合同履行期间，若双方发生争议，可协商或由有关部门调解解决，协商或调解不成的，可向采购人住所地人民法院依法提起诉讼解决。</w:t>
      </w:r>
    </w:p>
    <w:p w14:paraId="0AA4FB7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color w:val="auto"/>
          <w:sz w:val="24"/>
          <w:szCs w:val="24"/>
          <w:highlight w:val="none"/>
          <w:shd w:val="clear" w:color="auto" w:fill="auto"/>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eastAsia="仿宋" w:cs="Times New Roman"/>
          <w:b/>
          <w:bCs/>
          <w:color w:val="auto"/>
          <w:sz w:val="24"/>
          <w:szCs w:val="24"/>
          <w:highlight w:val="none"/>
          <w:shd w:val="clear" w:color="auto" w:fill="auto"/>
          <w:lang w:val="en-US" w:eastAsia="zh-CN"/>
        </w:rPr>
        <w:t>七</w:t>
      </w:r>
      <w:r>
        <w:rPr>
          <w:rFonts w:hint="eastAsia" w:ascii="仿宋" w:hAnsi="仿宋" w:eastAsia="仿宋" w:cs="仿宋"/>
          <w:b/>
          <w:bCs/>
          <w:color w:val="auto"/>
          <w:sz w:val="24"/>
          <w:szCs w:val="24"/>
          <w:highlight w:val="none"/>
          <w:shd w:val="clear" w:color="auto" w:fill="auto"/>
          <w:lang w:val="en-US" w:eastAsia="zh-CN"/>
        </w:rPr>
        <w:t>、</w:t>
      </w:r>
      <w:r>
        <w:rPr>
          <w:rFonts w:hint="eastAsia" w:ascii="仿宋" w:hAnsi="仿宋" w:eastAsia="仿宋" w:cs="仿宋"/>
          <w:b/>
          <w:bCs/>
          <w:color w:val="auto"/>
          <w:kern w:val="2"/>
          <w:sz w:val="24"/>
          <w:szCs w:val="24"/>
          <w:highlight w:val="none"/>
          <w:shd w:val="clear" w:color="auto" w:fill="auto"/>
          <w:lang w:val="en-US" w:eastAsia="zh-CN" w:bidi="ar-SA"/>
        </w:rPr>
        <w:t>履约验收方案</w:t>
      </w:r>
    </w:p>
    <w:p w14:paraId="2785AADD">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1、</w:t>
      </w:r>
      <w:r>
        <w:rPr>
          <w:rFonts w:hint="eastAsia" w:ascii="仿宋" w:hAnsi="仿宋" w:eastAsia="仿宋" w:cs="仿宋"/>
          <w:color w:val="auto"/>
          <w:sz w:val="24"/>
          <w:szCs w:val="24"/>
          <w:highlight w:val="none"/>
          <w:shd w:val="clear" w:color="auto" w:fill="auto"/>
        </w:rPr>
        <w:t>履约验收程序</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u w:val="none"/>
          <w:shd w:val="clear" w:color="auto" w:fill="auto"/>
          <w:lang w:val="en-US" w:eastAsia="zh-CN"/>
        </w:rPr>
        <w:t>分批次验收。</w:t>
      </w:r>
    </w:p>
    <w:p w14:paraId="77996F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履约验收时间：</w:t>
      </w:r>
      <w:r>
        <w:rPr>
          <w:rFonts w:hint="eastAsia" w:ascii="仿宋" w:hAnsi="仿宋" w:eastAsia="仿宋" w:cs="仿宋"/>
          <w:color w:val="auto"/>
          <w:sz w:val="24"/>
          <w:szCs w:val="24"/>
          <w:highlight w:val="none"/>
          <w:u w:val="none"/>
          <w:shd w:val="clear" w:color="auto" w:fill="auto"/>
          <w:lang w:val="en-US" w:eastAsia="zh-CN"/>
        </w:rPr>
        <w:t>合同期限内，根据采购人要求分批次送货，完成送货、验收入库视为验收完成。</w:t>
      </w:r>
    </w:p>
    <w:p w14:paraId="6E15A6F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验收组织的其他事项：</w:t>
      </w:r>
      <w:r>
        <w:rPr>
          <w:rFonts w:hint="eastAsia" w:ascii="仿宋" w:hAnsi="仿宋" w:eastAsia="仿宋" w:cs="仿宋"/>
          <w:color w:val="000000"/>
          <w:sz w:val="24"/>
          <w:szCs w:val="24"/>
          <w:u w:val="none"/>
          <w:lang w:val="en-US" w:eastAsia="zh-CN"/>
        </w:rPr>
        <w:t>无。</w:t>
      </w:r>
    </w:p>
    <w:p w14:paraId="78D556F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4、</w:t>
      </w:r>
      <w:r>
        <w:rPr>
          <w:rFonts w:hint="eastAsia" w:ascii="仿宋" w:hAnsi="仿宋" w:eastAsia="仿宋" w:cs="仿宋"/>
          <w:color w:val="auto"/>
          <w:sz w:val="24"/>
          <w:szCs w:val="24"/>
          <w:highlight w:val="none"/>
          <w:shd w:val="clear" w:color="auto" w:fill="auto"/>
        </w:rPr>
        <w:t>技术履约验收内容：</w:t>
      </w:r>
      <w:r>
        <w:rPr>
          <w:rFonts w:hint="eastAsia" w:ascii="仿宋" w:hAnsi="仿宋" w:eastAsia="仿宋" w:cs="仿宋"/>
          <w:color w:val="auto"/>
          <w:sz w:val="24"/>
          <w:szCs w:val="24"/>
          <w:highlight w:val="none"/>
          <w:u w:val="none"/>
          <w:shd w:val="clear" w:color="auto" w:fill="auto"/>
          <w:lang w:val="en-US" w:eastAsia="zh-CN"/>
        </w:rPr>
        <w:t>采购人按照本项目技术要求进行验收。</w:t>
      </w:r>
    </w:p>
    <w:p w14:paraId="6C05E85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5、</w:t>
      </w:r>
      <w:r>
        <w:rPr>
          <w:rFonts w:hint="eastAsia" w:ascii="仿宋" w:hAnsi="仿宋" w:eastAsia="仿宋" w:cs="仿宋"/>
          <w:color w:val="auto"/>
          <w:sz w:val="24"/>
          <w:szCs w:val="24"/>
          <w:highlight w:val="none"/>
          <w:shd w:val="clear" w:color="auto" w:fill="auto"/>
        </w:rPr>
        <w:t>商务履约验收内容：</w:t>
      </w:r>
      <w:r>
        <w:rPr>
          <w:rFonts w:hint="eastAsia" w:ascii="仿宋" w:hAnsi="仿宋" w:eastAsia="仿宋" w:cs="仿宋"/>
          <w:color w:val="auto"/>
          <w:sz w:val="24"/>
          <w:szCs w:val="24"/>
          <w:highlight w:val="none"/>
          <w:u w:val="none"/>
          <w:shd w:val="clear" w:color="auto" w:fill="auto"/>
          <w:lang w:val="en-US" w:eastAsia="zh-CN"/>
        </w:rPr>
        <w:t>采购人按照本项目商务要求进行验收。</w:t>
      </w:r>
    </w:p>
    <w:p w14:paraId="18DFBC8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sz w:val="24"/>
          <w:szCs w:val="24"/>
          <w:lang w:eastAsia="zh-CN"/>
        </w:rPr>
      </w:pP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履约收标准：</w:t>
      </w:r>
      <w:r>
        <w:rPr>
          <w:rFonts w:hint="eastAsia" w:ascii="仿宋" w:hAnsi="仿宋" w:eastAsia="仿宋" w:cs="仿宋"/>
          <w:color w:val="auto"/>
          <w:sz w:val="24"/>
          <w:szCs w:val="24"/>
          <w:highlight w:val="none"/>
          <w:u w:val="none"/>
          <w:shd w:val="clear" w:color="auto" w:fill="auto"/>
          <w:lang w:val="en-US" w:eastAsia="zh-CN"/>
        </w:rPr>
        <w:t>采购人按照本项目合同要求进行验收。</w:t>
      </w:r>
    </w:p>
    <w:p w14:paraId="1E50EC72">
      <w:pPr>
        <w:bidi w:val="0"/>
        <w:ind w:firstLine="482" w:firstLineChars="200"/>
        <w:rPr>
          <w:rFonts w:hint="eastAsia" w:ascii="仿宋" w:hAnsi="仿宋" w:eastAsia="仿宋" w:cs="仿宋"/>
          <w:b/>
          <w:bCs/>
          <w:kern w:val="0"/>
          <w:sz w:val="24"/>
          <w:szCs w:val="24"/>
          <w:lang w:val="en-US" w:bidi="zh-CN"/>
        </w:rPr>
      </w:pPr>
      <w:r>
        <w:rPr>
          <w:rFonts w:hint="eastAsia" w:ascii="仿宋" w:hAnsi="仿宋" w:eastAsia="仿宋" w:cs="仿宋"/>
          <w:b/>
          <w:bCs/>
          <w:sz w:val="24"/>
          <w:lang w:val="en-US" w:eastAsia="zh-CN"/>
        </w:rPr>
        <w:t>注：</w:t>
      </w:r>
      <w:r>
        <w:rPr>
          <w:rFonts w:hint="eastAsia" w:ascii="仿宋" w:hAnsi="仿宋" w:eastAsia="仿宋" w:cs="仿宋"/>
          <w:b/>
          <w:bCs/>
          <w:kern w:val="0"/>
          <w:sz w:val="24"/>
          <w:szCs w:val="24"/>
          <w:lang w:val="zh-CN" w:bidi="zh-CN"/>
        </w:rPr>
        <w:t>★</w:t>
      </w:r>
      <w:r>
        <w:rPr>
          <w:rFonts w:hint="eastAsia" w:ascii="仿宋" w:hAnsi="仿宋" w:eastAsia="仿宋" w:cs="仿宋"/>
          <w:b/>
          <w:bCs/>
          <w:kern w:val="0"/>
          <w:sz w:val="24"/>
          <w:szCs w:val="24"/>
          <w:lang w:val="en-US" w:bidi="zh-CN"/>
        </w:rPr>
        <w:t>条款为本项目实质性要求，不满足视为无效响应。</w:t>
      </w:r>
    </w:p>
    <w:p w14:paraId="54FD5C57">
      <w:pPr>
        <w:bidi w:val="0"/>
        <w:ind w:firstLine="482" w:firstLineChars="200"/>
        <w:rPr>
          <w:rFonts w:hint="eastAsia" w:ascii="仿宋" w:hAnsi="仿宋" w:eastAsia="仿宋" w:cs="仿宋"/>
          <w:b/>
          <w:bCs/>
          <w:kern w:val="0"/>
          <w:sz w:val="24"/>
          <w:szCs w:val="24"/>
          <w:lang w:val="en-US" w:bidi="zh-CN"/>
        </w:rPr>
      </w:pPr>
    </w:p>
    <w:p w14:paraId="3549BFA7">
      <w:pPr>
        <w:bidi w:val="0"/>
        <w:ind w:firstLine="482" w:firstLineChars="200"/>
        <w:rPr>
          <w:rFonts w:hint="eastAsia" w:ascii="仿宋" w:hAnsi="仿宋" w:eastAsia="仿宋" w:cs="仿宋"/>
          <w:b/>
          <w:bCs/>
          <w:kern w:val="0"/>
          <w:sz w:val="24"/>
          <w:szCs w:val="24"/>
          <w:lang w:val="en-US" w:bidi="zh-CN"/>
        </w:rPr>
      </w:pPr>
      <w:bookmarkStart w:id="1" w:name="_GoBack"/>
      <w:bookmarkEnd w:id="1"/>
    </w:p>
    <w:p w14:paraId="788CDD5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D77D7E"/>
    <w:rsid w:val="0FD4241B"/>
    <w:rsid w:val="16632DA0"/>
    <w:rsid w:val="18616AAD"/>
    <w:rsid w:val="2A246955"/>
    <w:rsid w:val="3D736378"/>
    <w:rsid w:val="43E309DF"/>
    <w:rsid w:val="521E674F"/>
    <w:rsid w:val="56E42DD6"/>
    <w:rsid w:val="59270E58"/>
    <w:rsid w:val="6CEC76D2"/>
    <w:rsid w:val="703C5414"/>
    <w:rsid w:val="7F894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3848</Words>
  <Characters>3919</Characters>
  <Lines>0</Lines>
  <Paragraphs>0</Paragraphs>
  <TotalTime>0</TotalTime>
  <ScaleCrop>false</ScaleCrop>
  <LinksUpToDate>false</LinksUpToDate>
  <CharactersWithSpaces>3925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2025-08-13T00:47:00Z</dcterms:created>
  <dc:creator>Administrator</dc:creator>
  <cp:lastModifiedBy>刘颖</cp:lastModifiedBy>
  <dcterms:modified xsi:type="dcterms:W3CDTF">2026-03-09T09:53:32Z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120750298B304F25A6A2FC324DD9F423_12</vt:lpwstr>
  </property>
  <property fmtid="{D5CDD505-2E9C-101B-9397-08002B2CF9AE}" pid="4" name="KSOTemplateDocerSaveRecord">
    <vt:lpwstr>eyJoZGlkIjoiY2IwZDY0MGJkYWYyNjgwNWIzOWU4ZjZiZjdmOWQ1ODIiLCJ1c2VySWQiOiIzMjU2NzM0MjkifQ==</vt:lpwstr>
  </property>
</Properties>
</file>