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8458C">
      <w:pPr>
        <w:pStyle w:val="11"/>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3FB00BA">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34FBDE4">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716BBEC0">
      <w:pPr>
        <w:pStyle w:val="11"/>
        <w:jc w:val="left"/>
        <w:outlineLvl w:val="2"/>
        <w:rPr>
          <w:rFonts w:hint="eastAsia" w:ascii="仿宋" w:hAnsi="仿宋" w:eastAsia="仿宋" w:cs="仿宋"/>
          <w:b/>
          <w:bCs/>
          <w:i w:val="0"/>
          <w:iCs w:val="0"/>
          <w:highlight w:val="none"/>
        </w:rPr>
      </w:pPr>
      <w:r>
        <w:rPr>
          <w:rFonts w:hint="eastAsia" w:ascii="仿宋" w:hAnsi="仿宋" w:eastAsia="仿宋" w:cs="仿宋"/>
          <w:b/>
          <w:bCs/>
          <w:i w:val="0"/>
          <w:iCs w:val="0"/>
          <w:sz w:val="24"/>
          <w:szCs w:val="24"/>
          <w:highlight w:val="none"/>
        </w:rPr>
        <w:t>采购包1：</w:t>
      </w:r>
    </w:p>
    <w:tbl>
      <w:tblPr>
        <w:tblStyle w:val="8"/>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24"/>
        <w:gridCol w:w="2043"/>
        <w:gridCol w:w="1383"/>
        <w:gridCol w:w="1383"/>
        <w:gridCol w:w="1384"/>
        <w:gridCol w:w="1384"/>
      </w:tblGrid>
      <w:tr w14:paraId="6A205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34" w:type="pct"/>
            <w:vAlign w:val="center"/>
          </w:tcPr>
          <w:p w14:paraId="28A57492">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包号</w:t>
            </w:r>
          </w:p>
        </w:tc>
        <w:tc>
          <w:tcPr>
            <w:tcW w:w="309" w:type="pct"/>
            <w:vAlign w:val="center"/>
          </w:tcPr>
          <w:p w14:paraId="7D075409">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编号</w:t>
            </w:r>
          </w:p>
        </w:tc>
        <w:tc>
          <w:tcPr>
            <w:tcW w:w="1200" w:type="pct"/>
            <w:vAlign w:val="center"/>
          </w:tcPr>
          <w:p w14:paraId="506DDC23">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标的名称</w:t>
            </w:r>
          </w:p>
        </w:tc>
        <w:tc>
          <w:tcPr>
            <w:tcW w:w="813" w:type="pct"/>
            <w:vAlign w:val="center"/>
          </w:tcPr>
          <w:p w14:paraId="30E43AFC">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★单价最高限价（元）</w:t>
            </w:r>
          </w:p>
        </w:tc>
        <w:tc>
          <w:tcPr>
            <w:tcW w:w="813" w:type="pct"/>
            <w:vAlign w:val="center"/>
          </w:tcPr>
          <w:p w14:paraId="26BECF52">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★计量单位</w:t>
            </w:r>
          </w:p>
        </w:tc>
        <w:tc>
          <w:tcPr>
            <w:tcW w:w="813" w:type="pct"/>
            <w:vAlign w:val="center"/>
          </w:tcPr>
          <w:p w14:paraId="18158FE3">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数量</w:t>
            </w:r>
          </w:p>
        </w:tc>
        <w:tc>
          <w:tcPr>
            <w:tcW w:w="813" w:type="pct"/>
            <w:vAlign w:val="center"/>
          </w:tcPr>
          <w:p w14:paraId="3CE75DB6">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预算金额/最高限价（每年）（元）</w:t>
            </w:r>
          </w:p>
        </w:tc>
      </w:tr>
      <w:tr w14:paraId="67DD7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restart"/>
            <w:vAlign w:val="center"/>
          </w:tcPr>
          <w:p w14:paraId="35A409B0">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309" w:type="pct"/>
            <w:vAlign w:val="center"/>
          </w:tcPr>
          <w:p w14:paraId="077FA2D0">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1200" w:type="pct"/>
            <w:shd w:val="clear" w:color="auto" w:fill="auto"/>
            <w:vAlign w:val="center"/>
          </w:tcPr>
          <w:p w14:paraId="0C85E141">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防褥疮垫</w:t>
            </w:r>
          </w:p>
        </w:tc>
        <w:tc>
          <w:tcPr>
            <w:tcW w:w="813" w:type="pct"/>
            <w:shd w:val="clear" w:color="auto" w:fill="auto"/>
            <w:vAlign w:val="center"/>
          </w:tcPr>
          <w:p w14:paraId="603F2B24">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900</w:t>
            </w:r>
          </w:p>
        </w:tc>
        <w:tc>
          <w:tcPr>
            <w:tcW w:w="813" w:type="pct"/>
            <w:shd w:val="clear" w:color="auto" w:fill="auto"/>
            <w:vAlign w:val="center"/>
          </w:tcPr>
          <w:p w14:paraId="4FAD2014">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张</w:t>
            </w:r>
          </w:p>
        </w:tc>
        <w:tc>
          <w:tcPr>
            <w:tcW w:w="1384" w:type="dxa"/>
            <w:vAlign w:val="center"/>
          </w:tcPr>
          <w:p w14:paraId="20215FD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5961B9C6">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64A20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3F925CD0">
            <w:pPr>
              <w:pStyle w:val="11"/>
              <w:jc w:val="center"/>
              <w:rPr>
                <w:rFonts w:hint="eastAsia" w:ascii="仿宋" w:hAnsi="仿宋" w:eastAsia="仿宋" w:cs="仿宋"/>
                <w:sz w:val="21"/>
                <w:szCs w:val="21"/>
                <w:highlight w:val="none"/>
                <w:lang w:val="en-US" w:eastAsia="zh-CN"/>
              </w:rPr>
            </w:pPr>
          </w:p>
        </w:tc>
        <w:tc>
          <w:tcPr>
            <w:tcW w:w="309" w:type="pct"/>
            <w:vAlign w:val="center"/>
          </w:tcPr>
          <w:p w14:paraId="3710A92A">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w:t>
            </w:r>
          </w:p>
        </w:tc>
        <w:tc>
          <w:tcPr>
            <w:tcW w:w="1200" w:type="pct"/>
            <w:shd w:val="clear" w:color="auto" w:fill="auto"/>
            <w:vAlign w:val="center"/>
          </w:tcPr>
          <w:p w14:paraId="7488E90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额镜</w:t>
            </w:r>
          </w:p>
        </w:tc>
        <w:tc>
          <w:tcPr>
            <w:tcW w:w="813" w:type="pct"/>
            <w:shd w:val="clear" w:color="auto" w:fill="auto"/>
            <w:vAlign w:val="center"/>
          </w:tcPr>
          <w:p w14:paraId="5AE4D61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50</w:t>
            </w:r>
          </w:p>
        </w:tc>
        <w:tc>
          <w:tcPr>
            <w:tcW w:w="813" w:type="pct"/>
            <w:shd w:val="clear" w:color="auto" w:fill="auto"/>
            <w:vAlign w:val="center"/>
          </w:tcPr>
          <w:p w14:paraId="0122F04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623AFCF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44D03F1F">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3D306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5291BEDA">
            <w:pPr>
              <w:pStyle w:val="11"/>
              <w:jc w:val="center"/>
              <w:rPr>
                <w:rFonts w:hint="eastAsia" w:ascii="仿宋" w:hAnsi="仿宋" w:eastAsia="仿宋" w:cs="仿宋"/>
                <w:sz w:val="21"/>
                <w:szCs w:val="21"/>
                <w:highlight w:val="none"/>
                <w:lang w:val="en-US" w:eastAsia="zh-CN"/>
              </w:rPr>
            </w:pPr>
          </w:p>
        </w:tc>
        <w:tc>
          <w:tcPr>
            <w:tcW w:w="309" w:type="pct"/>
            <w:vAlign w:val="center"/>
          </w:tcPr>
          <w:p w14:paraId="792D4C8B">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c>
          <w:tcPr>
            <w:tcW w:w="1200" w:type="pct"/>
            <w:shd w:val="clear" w:color="auto" w:fill="auto"/>
            <w:vAlign w:val="center"/>
          </w:tcPr>
          <w:p w14:paraId="6B43D146">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听诊器</w:t>
            </w:r>
          </w:p>
        </w:tc>
        <w:tc>
          <w:tcPr>
            <w:tcW w:w="813" w:type="pct"/>
            <w:shd w:val="clear" w:color="auto" w:fill="auto"/>
            <w:vAlign w:val="center"/>
          </w:tcPr>
          <w:p w14:paraId="2D040C9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26</w:t>
            </w:r>
          </w:p>
        </w:tc>
        <w:tc>
          <w:tcPr>
            <w:tcW w:w="813" w:type="pct"/>
            <w:shd w:val="clear" w:color="auto" w:fill="auto"/>
            <w:vAlign w:val="center"/>
          </w:tcPr>
          <w:p w14:paraId="5562999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0D6CD62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1192989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490D8C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7F54C21F">
            <w:pPr>
              <w:pStyle w:val="11"/>
              <w:jc w:val="center"/>
              <w:rPr>
                <w:rFonts w:hint="eastAsia" w:ascii="仿宋" w:hAnsi="仿宋" w:eastAsia="仿宋" w:cs="仿宋"/>
                <w:sz w:val="21"/>
                <w:szCs w:val="21"/>
                <w:highlight w:val="none"/>
                <w:lang w:val="en-US" w:eastAsia="zh-CN"/>
              </w:rPr>
            </w:pPr>
          </w:p>
        </w:tc>
        <w:tc>
          <w:tcPr>
            <w:tcW w:w="309" w:type="pct"/>
            <w:vAlign w:val="center"/>
          </w:tcPr>
          <w:p w14:paraId="7EEB6B18">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w:t>
            </w:r>
          </w:p>
        </w:tc>
        <w:tc>
          <w:tcPr>
            <w:tcW w:w="1200" w:type="pct"/>
            <w:shd w:val="clear" w:color="auto" w:fill="auto"/>
            <w:vAlign w:val="center"/>
          </w:tcPr>
          <w:p w14:paraId="02E10288">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电子婴儿秤</w:t>
            </w:r>
          </w:p>
        </w:tc>
        <w:tc>
          <w:tcPr>
            <w:tcW w:w="813" w:type="pct"/>
            <w:shd w:val="clear" w:color="auto" w:fill="auto"/>
            <w:vAlign w:val="center"/>
          </w:tcPr>
          <w:p w14:paraId="3ED427D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710</w:t>
            </w:r>
          </w:p>
        </w:tc>
        <w:tc>
          <w:tcPr>
            <w:tcW w:w="813" w:type="pct"/>
            <w:shd w:val="clear" w:color="auto" w:fill="auto"/>
            <w:vAlign w:val="center"/>
          </w:tcPr>
          <w:p w14:paraId="526DCCC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台</w:t>
            </w:r>
          </w:p>
        </w:tc>
        <w:tc>
          <w:tcPr>
            <w:tcW w:w="1384" w:type="dxa"/>
            <w:vAlign w:val="center"/>
          </w:tcPr>
          <w:p w14:paraId="691A51A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4619C8C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51A97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16202692">
            <w:pPr>
              <w:pStyle w:val="11"/>
              <w:jc w:val="center"/>
              <w:rPr>
                <w:rFonts w:hint="eastAsia" w:ascii="仿宋" w:hAnsi="仿宋" w:eastAsia="仿宋" w:cs="仿宋"/>
                <w:sz w:val="21"/>
                <w:szCs w:val="21"/>
                <w:highlight w:val="none"/>
                <w:lang w:val="en-US" w:eastAsia="zh-CN"/>
              </w:rPr>
            </w:pPr>
          </w:p>
        </w:tc>
        <w:tc>
          <w:tcPr>
            <w:tcW w:w="309" w:type="pct"/>
            <w:vAlign w:val="center"/>
          </w:tcPr>
          <w:p w14:paraId="4DCD417F">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w:t>
            </w:r>
          </w:p>
        </w:tc>
        <w:tc>
          <w:tcPr>
            <w:tcW w:w="1200" w:type="pct"/>
            <w:shd w:val="clear" w:color="auto" w:fill="auto"/>
            <w:vAlign w:val="center"/>
          </w:tcPr>
          <w:p w14:paraId="11E20546">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冰箱用温度计</w:t>
            </w:r>
          </w:p>
        </w:tc>
        <w:tc>
          <w:tcPr>
            <w:tcW w:w="813" w:type="pct"/>
            <w:shd w:val="clear" w:color="auto" w:fill="auto"/>
            <w:vAlign w:val="center"/>
          </w:tcPr>
          <w:p w14:paraId="63B989C4">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w:t>
            </w:r>
          </w:p>
        </w:tc>
        <w:tc>
          <w:tcPr>
            <w:tcW w:w="813" w:type="pct"/>
            <w:shd w:val="clear" w:color="auto" w:fill="auto"/>
            <w:vAlign w:val="center"/>
          </w:tcPr>
          <w:p w14:paraId="418A190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2058C03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1D9DD4D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41CD7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09BB36CB">
            <w:pPr>
              <w:pStyle w:val="11"/>
              <w:jc w:val="center"/>
              <w:rPr>
                <w:rFonts w:hint="eastAsia" w:ascii="仿宋" w:hAnsi="仿宋" w:eastAsia="仿宋" w:cs="仿宋"/>
                <w:sz w:val="21"/>
                <w:szCs w:val="21"/>
                <w:highlight w:val="none"/>
                <w:lang w:val="en-US" w:eastAsia="zh-CN"/>
              </w:rPr>
            </w:pPr>
          </w:p>
        </w:tc>
        <w:tc>
          <w:tcPr>
            <w:tcW w:w="309" w:type="pct"/>
            <w:vAlign w:val="center"/>
          </w:tcPr>
          <w:p w14:paraId="206FA6AD">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6</w:t>
            </w:r>
          </w:p>
        </w:tc>
        <w:tc>
          <w:tcPr>
            <w:tcW w:w="1200" w:type="pct"/>
            <w:shd w:val="clear" w:color="auto" w:fill="auto"/>
            <w:vAlign w:val="center"/>
          </w:tcPr>
          <w:p w14:paraId="26CCC07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医用供氧器</w:t>
            </w:r>
          </w:p>
        </w:tc>
        <w:tc>
          <w:tcPr>
            <w:tcW w:w="813" w:type="pct"/>
            <w:shd w:val="clear" w:color="auto" w:fill="auto"/>
            <w:vAlign w:val="center"/>
          </w:tcPr>
          <w:p w14:paraId="140E54C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620</w:t>
            </w:r>
          </w:p>
        </w:tc>
        <w:tc>
          <w:tcPr>
            <w:tcW w:w="813" w:type="pct"/>
            <w:shd w:val="clear" w:color="auto" w:fill="auto"/>
            <w:vAlign w:val="center"/>
          </w:tcPr>
          <w:p w14:paraId="72D90E61">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1384" w:type="dxa"/>
            <w:vAlign w:val="center"/>
          </w:tcPr>
          <w:p w14:paraId="7ADE8C5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078CE52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181FAE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6BA4A8D4">
            <w:pPr>
              <w:pStyle w:val="11"/>
              <w:jc w:val="center"/>
              <w:rPr>
                <w:rFonts w:hint="eastAsia" w:ascii="仿宋" w:hAnsi="仿宋" w:eastAsia="仿宋" w:cs="仿宋"/>
                <w:sz w:val="21"/>
                <w:szCs w:val="21"/>
                <w:highlight w:val="none"/>
                <w:lang w:val="en-US" w:eastAsia="zh-CN"/>
              </w:rPr>
            </w:pPr>
          </w:p>
        </w:tc>
        <w:tc>
          <w:tcPr>
            <w:tcW w:w="309" w:type="pct"/>
            <w:vAlign w:val="center"/>
          </w:tcPr>
          <w:p w14:paraId="523B2ED5">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7</w:t>
            </w:r>
          </w:p>
        </w:tc>
        <w:tc>
          <w:tcPr>
            <w:tcW w:w="1200" w:type="pct"/>
            <w:shd w:val="clear" w:color="auto" w:fill="auto"/>
            <w:vAlign w:val="center"/>
          </w:tcPr>
          <w:p w14:paraId="2E05195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床边输液架</w:t>
            </w:r>
          </w:p>
        </w:tc>
        <w:tc>
          <w:tcPr>
            <w:tcW w:w="813" w:type="pct"/>
            <w:shd w:val="clear" w:color="auto" w:fill="auto"/>
            <w:vAlign w:val="center"/>
          </w:tcPr>
          <w:p w14:paraId="63EA1EF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83</w:t>
            </w:r>
          </w:p>
        </w:tc>
        <w:tc>
          <w:tcPr>
            <w:tcW w:w="813" w:type="pct"/>
            <w:shd w:val="clear" w:color="auto" w:fill="auto"/>
            <w:vAlign w:val="center"/>
          </w:tcPr>
          <w:p w14:paraId="13CED9D4">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5CA4C81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360F665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2E5067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6798E86C">
            <w:pPr>
              <w:pStyle w:val="11"/>
              <w:jc w:val="center"/>
              <w:rPr>
                <w:rFonts w:hint="eastAsia" w:ascii="仿宋" w:hAnsi="仿宋" w:eastAsia="仿宋" w:cs="仿宋"/>
                <w:sz w:val="21"/>
                <w:szCs w:val="21"/>
                <w:highlight w:val="none"/>
                <w:lang w:val="en-US" w:eastAsia="zh-CN"/>
              </w:rPr>
            </w:pPr>
          </w:p>
        </w:tc>
        <w:tc>
          <w:tcPr>
            <w:tcW w:w="309" w:type="pct"/>
            <w:vAlign w:val="center"/>
          </w:tcPr>
          <w:p w14:paraId="76504FC5">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8</w:t>
            </w:r>
          </w:p>
        </w:tc>
        <w:tc>
          <w:tcPr>
            <w:tcW w:w="1200" w:type="pct"/>
            <w:shd w:val="clear" w:color="auto" w:fill="auto"/>
            <w:vAlign w:val="center"/>
          </w:tcPr>
          <w:p w14:paraId="1B0EEE64">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移动输液架</w:t>
            </w:r>
          </w:p>
        </w:tc>
        <w:tc>
          <w:tcPr>
            <w:tcW w:w="813" w:type="pct"/>
            <w:shd w:val="clear" w:color="auto" w:fill="auto"/>
            <w:vAlign w:val="center"/>
          </w:tcPr>
          <w:p w14:paraId="645F5834">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120</w:t>
            </w:r>
          </w:p>
        </w:tc>
        <w:tc>
          <w:tcPr>
            <w:tcW w:w="813" w:type="pct"/>
            <w:shd w:val="clear" w:color="auto" w:fill="auto"/>
            <w:vAlign w:val="center"/>
          </w:tcPr>
          <w:p w14:paraId="2507681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1452780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643ADAF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0A87B8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2F8056EB">
            <w:pPr>
              <w:pStyle w:val="11"/>
              <w:jc w:val="center"/>
              <w:rPr>
                <w:rFonts w:hint="eastAsia" w:ascii="仿宋" w:hAnsi="仿宋" w:eastAsia="仿宋" w:cs="仿宋"/>
                <w:sz w:val="21"/>
                <w:szCs w:val="21"/>
                <w:highlight w:val="none"/>
                <w:lang w:val="en-US" w:eastAsia="zh-CN"/>
              </w:rPr>
            </w:pPr>
          </w:p>
        </w:tc>
        <w:tc>
          <w:tcPr>
            <w:tcW w:w="309" w:type="pct"/>
            <w:vAlign w:val="center"/>
          </w:tcPr>
          <w:p w14:paraId="7166343C">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9</w:t>
            </w:r>
          </w:p>
        </w:tc>
        <w:tc>
          <w:tcPr>
            <w:tcW w:w="1200" w:type="pct"/>
            <w:shd w:val="clear" w:color="auto" w:fill="auto"/>
            <w:vAlign w:val="center"/>
          </w:tcPr>
          <w:p w14:paraId="75A7E1F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电动吸引器</w:t>
            </w:r>
          </w:p>
        </w:tc>
        <w:tc>
          <w:tcPr>
            <w:tcW w:w="813" w:type="pct"/>
            <w:shd w:val="clear" w:color="auto" w:fill="auto"/>
            <w:vAlign w:val="center"/>
          </w:tcPr>
          <w:p w14:paraId="5F4D538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1280</w:t>
            </w:r>
          </w:p>
        </w:tc>
        <w:tc>
          <w:tcPr>
            <w:tcW w:w="813" w:type="pct"/>
            <w:shd w:val="clear" w:color="auto" w:fill="auto"/>
            <w:vAlign w:val="center"/>
          </w:tcPr>
          <w:p w14:paraId="454882A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台</w:t>
            </w:r>
          </w:p>
        </w:tc>
        <w:tc>
          <w:tcPr>
            <w:tcW w:w="1384" w:type="dxa"/>
            <w:vAlign w:val="center"/>
          </w:tcPr>
          <w:p w14:paraId="035DD95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0AF95BA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739A9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5E8214C8">
            <w:pPr>
              <w:pStyle w:val="11"/>
              <w:jc w:val="center"/>
              <w:rPr>
                <w:rFonts w:hint="eastAsia" w:ascii="仿宋" w:hAnsi="仿宋" w:eastAsia="仿宋" w:cs="仿宋"/>
                <w:sz w:val="21"/>
                <w:szCs w:val="21"/>
                <w:highlight w:val="none"/>
                <w:lang w:val="en-US" w:eastAsia="zh-CN"/>
              </w:rPr>
            </w:pPr>
          </w:p>
        </w:tc>
        <w:tc>
          <w:tcPr>
            <w:tcW w:w="309" w:type="pct"/>
            <w:vAlign w:val="center"/>
          </w:tcPr>
          <w:p w14:paraId="4D21275D">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10</w:t>
            </w:r>
          </w:p>
        </w:tc>
        <w:tc>
          <w:tcPr>
            <w:tcW w:w="1200" w:type="pct"/>
            <w:shd w:val="clear" w:color="auto" w:fill="auto"/>
            <w:vAlign w:val="center"/>
          </w:tcPr>
          <w:p w14:paraId="7EDD29B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氧气袋</w:t>
            </w:r>
          </w:p>
        </w:tc>
        <w:tc>
          <w:tcPr>
            <w:tcW w:w="813" w:type="pct"/>
            <w:shd w:val="clear" w:color="auto" w:fill="auto"/>
            <w:vAlign w:val="center"/>
          </w:tcPr>
          <w:p w14:paraId="12AEEED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59</w:t>
            </w:r>
          </w:p>
        </w:tc>
        <w:tc>
          <w:tcPr>
            <w:tcW w:w="813" w:type="pct"/>
            <w:shd w:val="clear" w:color="auto" w:fill="auto"/>
            <w:vAlign w:val="center"/>
          </w:tcPr>
          <w:p w14:paraId="4748C80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3AD7212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0317993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4E64E2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7FBBB930">
            <w:pPr>
              <w:pStyle w:val="11"/>
              <w:jc w:val="center"/>
              <w:rPr>
                <w:rFonts w:hint="eastAsia" w:ascii="仿宋" w:hAnsi="仿宋" w:eastAsia="仿宋" w:cs="仿宋"/>
                <w:sz w:val="21"/>
                <w:szCs w:val="21"/>
                <w:highlight w:val="none"/>
                <w:lang w:val="en-US" w:eastAsia="zh-CN"/>
              </w:rPr>
            </w:pPr>
          </w:p>
        </w:tc>
        <w:tc>
          <w:tcPr>
            <w:tcW w:w="309" w:type="pct"/>
            <w:vAlign w:val="center"/>
          </w:tcPr>
          <w:p w14:paraId="141645D9">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11</w:t>
            </w:r>
          </w:p>
        </w:tc>
        <w:tc>
          <w:tcPr>
            <w:tcW w:w="1200" w:type="pct"/>
            <w:shd w:val="clear" w:color="auto" w:fill="auto"/>
            <w:vAlign w:val="center"/>
          </w:tcPr>
          <w:p w14:paraId="58B1B20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压缩雾化器</w:t>
            </w:r>
          </w:p>
        </w:tc>
        <w:tc>
          <w:tcPr>
            <w:tcW w:w="813" w:type="pct"/>
            <w:shd w:val="clear" w:color="auto" w:fill="auto"/>
            <w:vAlign w:val="center"/>
          </w:tcPr>
          <w:p w14:paraId="48816361">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400</w:t>
            </w:r>
          </w:p>
        </w:tc>
        <w:tc>
          <w:tcPr>
            <w:tcW w:w="813" w:type="pct"/>
            <w:shd w:val="clear" w:color="auto" w:fill="auto"/>
            <w:vAlign w:val="center"/>
          </w:tcPr>
          <w:p w14:paraId="7D5499A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台</w:t>
            </w:r>
          </w:p>
        </w:tc>
        <w:tc>
          <w:tcPr>
            <w:tcW w:w="1384" w:type="dxa"/>
            <w:vAlign w:val="center"/>
          </w:tcPr>
          <w:p w14:paraId="30C10DC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4F0DBE3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36EC9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272EA889">
            <w:pPr>
              <w:pStyle w:val="11"/>
              <w:jc w:val="center"/>
              <w:rPr>
                <w:rFonts w:hint="eastAsia" w:ascii="仿宋" w:hAnsi="仿宋" w:eastAsia="仿宋" w:cs="仿宋"/>
                <w:sz w:val="21"/>
                <w:szCs w:val="21"/>
                <w:highlight w:val="none"/>
                <w:lang w:val="en-US" w:eastAsia="zh-CN"/>
              </w:rPr>
            </w:pPr>
          </w:p>
        </w:tc>
        <w:tc>
          <w:tcPr>
            <w:tcW w:w="309" w:type="pct"/>
            <w:vAlign w:val="center"/>
          </w:tcPr>
          <w:p w14:paraId="18BE4666">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12</w:t>
            </w:r>
          </w:p>
        </w:tc>
        <w:tc>
          <w:tcPr>
            <w:tcW w:w="1200" w:type="pct"/>
            <w:shd w:val="clear" w:color="auto" w:fill="auto"/>
            <w:vAlign w:val="center"/>
          </w:tcPr>
          <w:p w14:paraId="5B2B169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电子血压计</w:t>
            </w:r>
          </w:p>
        </w:tc>
        <w:tc>
          <w:tcPr>
            <w:tcW w:w="813" w:type="pct"/>
            <w:shd w:val="clear" w:color="auto" w:fill="auto"/>
            <w:vAlign w:val="center"/>
          </w:tcPr>
          <w:p w14:paraId="369E694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598</w:t>
            </w:r>
          </w:p>
        </w:tc>
        <w:tc>
          <w:tcPr>
            <w:tcW w:w="813" w:type="pct"/>
            <w:shd w:val="clear" w:color="auto" w:fill="auto"/>
            <w:vAlign w:val="center"/>
          </w:tcPr>
          <w:p w14:paraId="0513415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台</w:t>
            </w:r>
          </w:p>
        </w:tc>
        <w:tc>
          <w:tcPr>
            <w:tcW w:w="1384" w:type="dxa"/>
            <w:vAlign w:val="center"/>
          </w:tcPr>
          <w:p w14:paraId="5CDCF5F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69FE3DC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43EC8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4BEE2CE8">
            <w:pPr>
              <w:pStyle w:val="11"/>
              <w:jc w:val="center"/>
              <w:rPr>
                <w:rFonts w:hint="eastAsia" w:ascii="仿宋" w:hAnsi="仿宋" w:eastAsia="仿宋" w:cs="仿宋"/>
                <w:sz w:val="21"/>
                <w:szCs w:val="21"/>
                <w:highlight w:val="none"/>
                <w:lang w:val="en-US" w:eastAsia="zh-CN"/>
              </w:rPr>
            </w:pPr>
          </w:p>
        </w:tc>
        <w:tc>
          <w:tcPr>
            <w:tcW w:w="309" w:type="pct"/>
            <w:vAlign w:val="center"/>
          </w:tcPr>
          <w:p w14:paraId="6477D929">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13</w:t>
            </w:r>
          </w:p>
        </w:tc>
        <w:tc>
          <w:tcPr>
            <w:tcW w:w="1200" w:type="pct"/>
            <w:shd w:val="clear" w:color="auto" w:fill="auto"/>
            <w:vAlign w:val="center"/>
          </w:tcPr>
          <w:p w14:paraId="69E75BE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氧气瓶推车</w:t>
            </w:r>
          </w:p>
        </w:tc>
        <w:tc>
          <w:tcPr>
            <w:tcW w:w="813" w:type="pct"/>
            <w:shd w:val="clear" w:color="auto" w:fill="auto"/>
            <w:vAlign w:val="center"/>
          </w:tcPr>
          <w:p w14:paraId="64349C9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510</w:t>
            </w:r>
          </w:p>
        </w:tc>
        <w:tc>
          <w:tcPr>
            <w:tcW w:w="813" w:type="pct"/>
            <w:shd w:val="clear" w:color="auto" w:fill="auto"/>
            <w:vAlign w:val="center"/>
          </w:tcPr>
          <w:p w14:paraId="33A21BC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辆</w:t>
            </w:r>
          </w:p>
        </w:tc>
        <w:tc>
          <w:tcPr>
            <w:tcW w:w="1384" w:type="dxa"/>
            <w:vAlign w:val="center"/>
          </w:tcPr>
          <w:p w14:paraId="77FB42C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56EB88A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1F250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47AC71F8">
            <w:pPr>
              <w:pStyle w:val="11"/>
              <w:jc w:val="center"/>
              <w:rPr>
                <w:rFonts w:hint="eastAsia" w:ascii="仿宋" w:hAnsi="仿宋" w:eastAsia="仿宋" w:cs="仿宋"/>
                <w:sz w:val="21"/>
                <w:szCs w:val="21"/>
                <w:highlight w:val="none"/>
                <w:lang w:val="en-US" w:eastAsia="zh-CN"/>
              </w:rPr>
            </w:pPr>
          </w:p>
        </w:tc>
        <w:tc>
          <w:tcPr>
            <w:tcW w:w="309" w:type="pct"/>
            <w:vAlign w:val="center"/>
          </w:tcPr>
          <w:p w14:paraId="051AA398">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14</w:t>
            </w:r>
          </w:p>
        </w:tc>
        <w:tc>
          <w:tcPr>
            <w:tcW w:w="1200" w:type="pct"/>
            <w:shd w:val="clear" w:color="auto" w:fill="auto"/>
            <w:vAlign w:val="center"/>
          </w:tcPr>
          <w:p w14:paraId="407806E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特定电磁波普治疗器</w:t>
            </w:r>
          </w:p>
        </w:tc>
        <w:tc>
          <w:tcPr>
            <w:tcW w:w="813" w:type="pct"/>
            <w:shd w:val="clear" w:color="auto" w:fill="auto"/>
            <w:vAlign w:val="center"/>
          </w:tcPr>
          <w:p w14:paraId="7573E2C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380</w:t>
            </w:r>
          </w:p>
        </w:tc>
        <w:tc>
          <w:tcPr>
            <w:tcW w:w="813" w:type="pct"/>
            <w:shd w:val="clear" w:color="auto" w:fill="auto"/>
            <w:vAlign w:val="center"/>
          </w:tcPr>
          <w:p w14:paraId="07CC311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0CB1AA6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1422266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0C731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24283313">
            <w:pPr>
              <w:pStyle w:val="11"/>
              <w:jc w:val="center"/>
              <w:rPr>
                <w:rFonts w:hint="eastAsia" w:ascii="仿宋" w:hAnsi="仿宋" w:eastAsia="仿宋" w:cs="仿宋"/>
                <w:sz w:val="21"/>
                <w:szCs w:val="21"/>
                <w:highlight w:val="none"/>
                <w:lang w:val="en-US" w:eastAsia="zh-CN"/>
              </w:rPr>
            </w:pPr>
          </w:p>
        </w:tc>
        <w:tc>
          <w:tcPr>
            <w:tcW w:w="309" w:type="pct"/>
            <w:vAlign w:val="center"/>
          </w:tcPr>
          <w:p w14:paraId="20D95BE4">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15</w:t>
            </w:r>
          </w:p>
        </w:tc>
        <w:tc>
          <w:tcPr>
            <w:tcW w:w="1200" w:type="pct"/>
            <w:shd w:val="clear" w:color="auto" w:fill="auto"/>
            <w:vAlign w:val="center"/>
          </w:tcPr>
          <w:p w14:paraId="43527DF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体重秤</w:t>
            </w:r>
          </w:p>
        </w:tc>
        <w:tc>
          <w:tcPr>
            <w:tcW w:w="813" w:type="pct"/>
            <w:shd w:val="clear" w:color="auto" w:fill="auto"/>
            <w:vAlign w:val="center"/>
          </w:tcPr>
          <w:p w14:paraId="739A8EF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450</w:t>
            </w:r>
          </w:p>
        </w:tc>
        <w:tc>
          <w:tcPr>
            <w:tcW w:w="813" w:type="pct"/>
            <w:shd w:val="clear" w:color="auto" w:fill="auto"/>
            <w:vAlign w:val="center"/>
          </w:tcPr>
          <w:p w14:paraId="62B0F05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台</w:t>
            </w:r>
          </w:p>
        </w:tc>
        <w:tc>
          <w:tcPr>
            <w:tcW w:w="1384" w:type="dxa"/>
            <w:vAlign w:val="center"/>
          </w:tcPr>
          <w:p w14:paraId="66BEE87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1329FEE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4AD3B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30F2576E">
            <w:pPr>
              <w:pStyle w:val="11"/>
              <w:jc w:val="center"/>
              <w:rPr>
                <w:rFonts w:hint="eastAsia" w:ascii="仿宋" w:hAnsi="仿宋" w:eastAsia="仿宋" w:cs="仿宋"/>
                <w:sz w:val="21"/>
                <w:szCs w:val="21"/>
                <w:highlight w:val="none"/>
                <w:lang w:val="en-US" w:eastAsia="zh-CN"/>
              </w:rPr>
            </w:pPr>
          </w:p>
        </w:tc>
        <w:tc>
          <w:tcPr>
            <w:tcW w:w="309" w:type="pct"/>
            <w:vAlign w:val="center"/>
          </w:tcPr>
          <w:p w14:paraId="4A476161">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16</w:t>
            </w:r>
          </w:p>
        </w:tc>
        <w:tc>
          <w:tcPr>
            <w:tcW w:w="1200" w:type="pct"/>
            <w:shd w:val="clear" w:color="auto" w:fill="auto"/>
            <w:vAlign w:val="center"/>
          </w:tcPr>
          <w:p w14:paraId="179DAF5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手动轮椅车</w:t>
            </w:r>
          </w:p>
        </w:tc>
        <w:tc>
          <w:tcPr>
            <w:tcW w:w="813" w:type="pct"/>
            <w:shd w:val="clear" w:color="auto" w:fill="auto"/>
            <w:vAlign w:val="center"/>
          </w:tcPr>
          <w:p w14:paraId="1440B39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550</w:t>
            </w:r>
          </w:p>
        </w:tc>
        <w:tc>
          <w:tcPr>
            <w:tcW w:w="813" w:type="pct"/>
            <w:shd w:val="clear" w:color="auto" w:fill="auto"/>
            <w:vAlign w:val="center"/>
          </w:tcPr>
          <w:p w14:paraId="2D38E341">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辆</w:t>
            </w:r>
          </w:p>
        </w:tc>
        <w:tc>
          <w:tcPr>
            <w:tcW w:w="1384" w:type="dxa"/>
            <w:vAlign w:val="center"/>
          </w:tcPr>
          <w:p w14:paraId="327DCD6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79B6174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60B36E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72257FB0">
            <w:pPr>
              <w:pStyle w:val="11"/>
              <w:jc w:val="center"/>
              <w:rPr>
                <w:rFonts w:hint="eastAsia" w:ascii="仿宋" w:hAnsi="仿宋" w:eastAsia="仿宋" w:cs="仿宋"/>
                <w:sz w:val="21"/>
                <w:szCs w:val="21"/>
                <w:highlight w:val="none"/>
                <w:lang w:val="en-US" w:eastAsia="zh-CN"/>
              </w:rPr>
            </w:pPr>
          </w:p>
        </w:tc>
        <w:tc>
          <w:tcPr>
            <w:tcW w:w="309" w:type="pct"/>
            <w:vAlign w:val="center"/>
          </w:tcPr>
          <w:p w14:paraId="5640CC1C">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17</w:t>
            </w:r>
          </w:p>
        </w:tc>
        <w:tc>
          <w:tcPr>
            <w:tcW w:w="1200" w:type="pct"/>
            <w:shd w:val="clear" w:color="auto" w:fill="auto"/>
            <w:vAlign w:val="center"/>
          </w:tcPr>
          <w:p w14:paraId="0613DD0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手术辅助照明灯</w:t>
            </w:r>
          </w:p>
        </w:tc>
        <w:tc>
          <w:tcPr>
            <w:tcW w:w="813" w:type="pct"/>
            <w:shd w:val="clear" w:color="auto" w:fill="auto"/>
            <w:vAlign w:val="center"/>
          </w:tcPr>
          <w:p w14:paraId="15EFE90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860</w:t>
            </w:r>
          </w:p>
        </w:tc>
        <w:tc>
          <w:tcPr>
            <w:tcW w:w="813" w:type="pct"/>
            <w:shd w:val="clear" w:color="auto" w:fill="auto"/>
            <w:vAlign w:val="center"/>
          </w:tcPr>
          <w:p w14:paraId="7CBD132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23803FC4">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47C7699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4CFB98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15B78183">
            <w:pPr>
              <w:pStyle w:val="11"/>
              <w:jc w:val="center"/>
              <w:rPr>
                <w:rFonts w:hint="eastAsia" w:ascii="仿宋" w:hAnsi="仿宋" w:eastAsia="仿宋" w:cs="仿宋"/>
                <w:sz w:val="21"/>
                <w:szCs w:val="21"/>
                <w:highlight w:val="none"/>
                <w:lang w:val="en-US" w:eastAsia="zh-CN"/>
              </w:rPr>
            </w:pPr>
          </w:p>
        </w:tc>
        <w:tc>
          <w:tcPr>
            <w:tcW w:w="309" w:type="pct"/>
            <w:vAlign w:val="center"/>
          </w:tcPr>
          <w:p w14:paraId="212B70FC">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18</w:t>
            </w:r>
          </w:p>
        </w:tc>
        <w:tc>
          <w:tcPr>
            <w:tcW w:w="1200" w:type="pct"/>
            <w:shd w:val="clear" w:color="auto" w:fill="auto"/>
            <w:vAlign w:val="center"/>
          </w:tcPr>
          <w:p w14:paraId="18FADB18">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指尖脉搏血氧仪</w:t>
            </w:r>
          </w:p>
        </w:tc>
        <w:tc>
          <w:tcPr>
            <w:tcW w:w="813" w:type="pct"/>
            <w:shd w:val="clear" w:color="auto" w:fill="auto"/>
            <w:vAlign w:val="center"/>
          </w:tcPr>
          <w:p w14:paraId="2058007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170</w:t>
            </w:r>
          </w:p>
        </w:tc>
        <w:tc>
          <w:tcPr>
            <w:tcW w:w="813" w:type="pct"/>
            <w:shd w:val="clear" w:color="auto" w:fill="auto"/>
            <w:vAlign w:val="center"/>
          </w:tcPr>
          <w:p w14:paraId="69277891">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6B99DE1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1149B06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61E62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599F1B52">
            <w:pPr>
              <w:pStyle w:val="11"/>
              <w:jc w:val="center"/>
              <w:rPr>
                <w:rFonts w:hint="eastAsia" w:ascii="仿宋" w:hAnsi="仿宋" w:eastAsia="仿宋" w:cs="仿宋"/>
                <w:sz w:val="21"/>
                <w:szCs w:val="21"/>
                <w:highlight w:val="none"/>
                <w:lang w:val="en-US" w:eastAsia="zh-CN"/>
              </w:rPr>
            </w:pPr>
          </w:p>
        </w:tc>
        <w:tc>
          <w:tcPr>
            <w:tcW w:w="309" w:type="pct"/>
            <w:vAlign w:val="center"/>
          </w:tcPr>
          <w:p w14:paraId="34811BFC">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19</w:t>
            </w:r>
          </w:p>
        </w:tc>
        <w:tc>
          <w:tcPr>
            <w:tcW w:w="1200" w:type="pct"/>
            <w:shd w:val="clear" w:color="auto" w:fill="auto"/>
            <w:vAlign w:val="center"/>
          </w:tcPr>
          <w:p w14:paraId="6560038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脉搏血样饱和仪</w:t>
            </w:r>
          </w:p>
        </w:tc>
        <w:tc>
          <w:tcPr>
            <w:tcW w:w="813" w:type="pct"/>
            <w:shd w:val="clear" w:color="auto" w:fill="auto"/>
            <w:vAlign w:val="center"/>
          </w:tcPr>
          <w:p w14:paraId="6EEA711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860</w:t>
            </w:r>
          </w:p>
        </w:tc>
        <w:tc>
          <w:tcPr>
            <w:tcW w:w="813" w:type="pct"/>
            <w:shd w:val="clear" w:color="auto" w:fill="auto"/>
            <w:vAlign w:val="center"/>
          </w:tcPr>
          <w:p w14:paraId="3CB5817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47078CE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66FB310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582A6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5E22ED80">
            <w:pPr>
              <w:pStyle w:val="11"/>
              <w:jc w:val="center"/>
              <w:rPr>
                <w:rFonts w:hint="eastAsia" w:ascii="仿宋" w:hAnsi="仿宋" w:eastAsia="仿宋" w:cs="仿宋"/>
                <w:sz w:val="21"/>
                <w:szCs w:val="21"/>
                <w:highlight w:val="none"/>
                <w:lang w:val="en-US" w:eastAsia="zh-CN"/>
              </w:rPr>
            </w:pPr>
          </w:p>
        </w:tc>
        <w:tc>
          <w:tcPr>
            <w:tcW w:w="309" w:type="pct"/>
            <w:vAlign w:val="center"/>
          </w:tcPr>
          <w:p w14:paraId="4BEED553">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20</w:t>
            </w:r>
          </w:p>
        </w:tc>
        <w:tc>
          <w:tcPr>
            <w:tcW w:w="1200" w:type="pct"/>
            <w:shd w:val="clear" w:color="auto" w:fill="auto"/>
            <w:vAlign w:val="center"/>
          </w:tcPr>
          <w:p w14:paraId="102125D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视力表灯箱</w:t>
            </w:r>
          </w:p>
        </w:tc>
        <w:tc>
          <w:tcPr>
            <w:tcW w:w="813" w:type="pct"/>
            <w:shd w:val="clear" w:color="auto" w:fill="auto"/>
            <w:vAlign w:val="center"/>
          </w:tcPr>
          <w:p w14:paraId="5BE8D346">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430</w:t>
            </w:r>
          </w:p>
        </w:tc>
        <w:tc>
          <w:tcPr>
            <w:tcW w:w="813" w:type="pct"/>
            <w:shd w:val="clear" w:color="auto" w:fill="auto"/>
            <w:vAlign w:val="center"/>
          </w:tcPr>
          <w:p w14:paraId="470A65D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个</w:t>
            </w:r>
          </w:p>
        </w:tc>
        <w:tc>
          <w:tcPr>
            <w:tcW w:w="1384" w:type="dxa"/>
            <w:vAlign w:val="center"/>
          </w:tcPr>
          <w:p w14:paraId="2E9C6461">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33AE710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r w14:paraId="056C9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34" w:type="pct"/>
            <w:vMerge w:val="continue"/>
            <w:vAlign w:val="center"/>
          </w:tcPr>
          <w:p w14:paraId="7E988E96">
            <w:pPr>
              <w:pStyle w:val="11"/>
              <w:jc w:val="center"/>
              <w:rPr>
                <w:rFonts w:hint="eastAsia" w:ascii="仿宋" w:hAnsi="仿宋" w:eastAsia="仿宋" w:cs="仿宋"/>
                <w:sz w:val="21"/>
                <w:szCs w:val="21"/>
                <w:highlight w:val="none"/>
                <w:lang w:val="en-US" w:eastAsia="zh-CN"/>
              </w:rPr>
            </w:pPr>
          </w:p>
        </w:tc>
        <w:tc>
          <w:tcPr>
            <w:tcW w:w="309" w:type="pct"/>
            <w:vAlign w:val="center"/>
          </w:tcPr>
          <w:p w14:paraId="3A0A70BC">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21</w:t>
            </w:r>
          </w:p>
        </w:tc>
        <w:tc>
          <w:tcPr>
            <w:tcW w:w="1200" w:type="pct"/>
            <w:shd w:val="clear" w:color="auto" w:fill="auto"/>
            <w:vAlign w:val="center"/>
          </w:tcPr>
          <w:p w14:paraId="218C852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电子针疗仪</w:t>
            </w:r>
          </w:p>
        </w:tc>
        <w:tc>
          <w:tcPr>
            <w:tcW w:w="813" w:type="pct"/>
            <w:shd w:val="clear" w:color="auto" w:fill="auto"/>
            <w:vAlign w:val="center"/>
          </w:tcPr>
          <w:p w14:paraId="297E97E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320</w:t>
            </w:r>
          </w:p>
        </w:tc>
        <w:tc>
          <w:tcPr>
            <w:tcW w:w="813" w:type="pct"/>
            <w:shd w:val="clear" w:color="auto" w:fill="auto"/>
            <w:vAlign w:val="center"/>
          </w:tcPr>
          <w:p w14:paraId="570745F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台</w:t>
            </w:r>
          </w:p>
        </w:tc>
        <w:tc>
          <w:tcPr>
            <w:tcW w:w="1384" w:type="dxa"/>
            <w:vAlign w:val="center"/>
          </w:tcPr>
          <w:p w14:paraId="5D6BCA3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按计划</w:t>
            </w:r>
          </w:p>
        </w:tc>
        <w:tc>
          <w:tcPr>
            <w:tcW w:w="813" w:type="pct"/>
            <w:vAlign w:val="center"/>
          </w:tcPr>
          <w:p w14:paraId="2F03D35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据实结算</w:t>
            </w:r>
          </w:p>
        </w:tc>
      </w:tr>
    </w:tbl>
    <w:p w14:paraId="3FDB26AE">
      <w:pPr>
        <w:pStyle w:val="11"/>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0FEE3EDB">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58600C49">
      <w:pPr>
        <w:pStyle w:val="11"/>
        <w:jc w:val="left"/>
        <w:outlineLvl w:val="2"/>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采购包1：</w:t>
      </w:r>
    </w:p>
    <w:tbl>
      <w:tblPr>
        <w:tblStyle w:val="8"/>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63"/>
        <w:gridCol w:w="783"/>
        <w:gridCol w:w="3606"/>
        <w:gridCol w:w="3001"/>
        <w:gridCol w:w="669"/>
      </w:tblGrid>
      <w:tr w14:paraId="0A146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jc w:val="center"/>
        </w:trPr>
        <w:tc>
          <w:tcPr>
            <w:tcW w:w="0" w:type="auto"/>
            <w:shd w:val="clear" w:color="auto" w:fill="auto"/>
            <w:vAlign w:val="center"/>
          </w:tcPr>
          <w:p w14:paraId="6C708BC8">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编号</w:t>
            </w:r>
          </w:p>
        </w:tc>
        <w:tc>
          <w:tcPr>
            <w:tcW w:w="0" w:type="auto"/>
            <w:shd w:val="clear" w:color="auto" w:fill="auto"/>
            <w:vAlign w:val="center"/>
          </w:tcPr>
          <w:p w14:paraId="0DADAC17">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标的名称</w:t>
            </w:r>
          </w:p>
        </w:tc>
        <w:tc>
          <w:tcPr>
            <w:tcW w:w="0" w:type="auto"/>
            <w:shd w:val="clear" w:color="auto" w:fill="auto"/>
            <w:vAlign w:val="center"/>
          </w:tcPr>
          <w:p w14:paraId="76F37562">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★预期用途/适应症</w:t>
            </w:r>
          </w:p>
        </w:tc>
        <w:tc>
          <w:tcPr>
            <w:tcW w:w="0" w:type="auto"/>
            <w:shd w:val="clear" w:color="auto" w:fill="auto"/>
            <w:vAlign w:val="center"/>
          </w:tcPr>
          <w:p w14:paraId="1A2D5840">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预期使用的规格型号</w:t>
            </w:r>
          </w:p>
        </w:tc>
        <w:tc>
          <w:tcPr>
            <w:tcW w:w="0" w:type="auto"/>
            <w:vAlign w:val="center"/>
          </w:tcPr>
          <w:p w14:paraId="6A2ABCCF">
            <w:pPr>
              <w:pStyle w:val="11"/>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249187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5EA12AE2">
            <w:pPr>
              <w:pStyle w:val="11"/>
              <w:jc w:val="center"/>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1</w:t>
            </w:r>
          </w:p>
        </w:tc>
        <w:tc>
          <w:tcPr>
            <w:tcW w:w="0" w:type="auto"/>
            <w:shd w:val="clear" w:color="auto" w:fill="auto"/>
            <w:vAlign w:val="center"/>
          </w:tcPr>
          <w:p w14:paraId="0ED2B856">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防褥疮垫</w:t>
            </w:r>
          </w:p>
        </w:tc>
        <w:tc>
          <w:tcPr>
            <w:tcW w:w="0" w:type="auto"/>
            <w:shd w:val="clear" w:color="auto" w:fill="auto"/>
            <w:vAlign w:val="center"/>
          </w:tcPr>
          <w:p w14:paraId="5671DB93">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为预防和减缓褥疮疾病而辅助使用的医疗护理床垫，广泛应用于瘫痪、昏迷、重大手术后、骨折牵引、严重烧伤（冻伤）等患者，以及各种重症和终末期患者。</w:t>
            </w:r>
          </w:p>
        </w:tc>
        <w:tc>
          <w:tcPr>
            <w:tcW w:w="0" w:type="auto"/>
            <w:shd w:val="clear" w:color="auto" w:fill="auto"/>
            <w:vAlign w:val="center"/>
          </w:tcPr>
          <w:p w14:paraId="4EEF0A7C">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1338E0CA">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2010D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34DC0607">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w:t>
            </w:r>
          </w:p>
        </w:tc>
        <w:tc>
          <w:tcPr>
            <w:tcW w:w="0" w:type="auto"/>
            <w:shd w:val="clear" w:color="auto" w:fill="auto"/>
            <w:vAlign w:val="center"/>
          </w:tcPr>
          <w:p w14:paraId="4214048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额镜</w:t>
            </w:r>
          </w:p>
        </w:tc>
        <w:tc>
          <w:tcPr>
            <w:tcW w:w="0" w:type="auto"/>
            <w:shd w:val="clear" w:color="auto" w:fill="auto"/>
            <w:vAlign w:val="center"/>
          </w:tcPr>
          <w:p w14:paraId="78B2EE2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额戴反光镜是可用于头部佩戴的一个能聚光的凹面反光镜器械，为耳鼻喉科室常用的辅助检查器械。</w:t>
            </w:r>
          </w:p>
        </w:tc>
        <w:tc>
          <w:tcPr>
            <w:tcW w:w="0" w:type="auto"/>
            <w:shd w:val="clear" w:color="auto" w:fill="auto"/>
            <w:vAlign w:val="center"/>
          </w:tcPr>
          <w:p w14:paraId="37F4B35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Φ80mm</w:t>
            </w:r>
          </w:p>
        </w:tc>
        <w:tc>
          <w:tcPr>
            <w:tcW w:w="0" w:type="auto"/>
            <w:vAlign w:val="center"/>
          </w:tcPr>
          <w:p w14:paraId="2B15C9D9">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21E10E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6C826E9C">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c>
          <w:tcPr>
            <w:tcW w:w="0" w:type="auto"/>
            <w:shd w:val="clear" w:color="auto" w:fill="auto"/>
            <w:vAlign w:val="center"/>
          </w:tcPr>
          <w:p w14:paraId="272632C3">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听诊器</w:t>
            </w:r>
          </w:p>
        </w:tc>
        <w:tc>
          <w:tcPr>
            <w:tcW w:w="0" w:type="auto"/>
            <w:shd w:val="clear" w:color="auto" w:fill="auto"/>
            <w:vAlign w:val="center"/>
          </w:tcPr>
          <w:p w14:paraId="04FE63E6">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用于收集和放大从心脏、肺部、动脉、静脉和其他内脏器官处发出的声音。</w:t>
            </w:r>
          </w:p>
        </w:tc>
        <w:tc>
          <w:tcPr>
            <w:tcW w:w="0" w:type="auto"/>
            <w:shd w:val="clear" w:color="auto" w:fill="auto"/>
            <w:vAlign w:val="center"/>
          </w:tcPr>
          <w:p w14:paraId="0A000F70">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两用型</w:t>
            </w:r>
          </w:p>
        </w:tc>
        <w:tc>
          <w:tcPr>
            <w:tcW w:w="0" w:type="auto"/>
            <w:vAlign w:val="center"/>
          </w:tcPr>
          <w:p w14:paraId="07D6485B">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318B13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614A508F">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w:t>
            </w:r>
          </w:p>
        </w:tc>
        <w:tc>
          <w:tcPr>
            <w:tcW w:w="0" w:type="auto"/>
            <w:shd w:val="clear" w:color="auto" w:fill="auto"/>
            <w:vAlign w:val="center"/>
          </w:tcPr>
          <w:p w14:paraId="7036235C">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电子婴儿秤</w:t>
            </w:r>
          </w:p>
        </w:tc>
        <w:tc>
          <w:tcPr>
            <w:tcW w:w="0" w:type="auto"/>
            <w:shd w:val="clear" w:color="auto" w:fill="auto"/>
            <w:vAlign w:val="center"/>
          </w:tcPr>
          <w:p w14:paraId="7E3E9EC9">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用于新生儿测量体重。</w:t>
            </w:r>
          </w:p>
        </w:tc>
        <w:tc>
          <w:tcPr>
            <w:tcW w:w="0" w:type="auto"/>
            <w:shd w:val="clear" w:color="auto" w:fill="auto"/>
            <w:vAlign w:val="center"/>
          </w:tcPr>
          <w:p w14:paraId="25D2E0E8">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194C6A72">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7EEC0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33D540F8">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w:t>
            </w:r>
          </w:p>
        </w:tc>
        <w:tc>
          <w:tcPr>
            <w:tcW w:w="0" w:type="auto"/>
            <w:shd w:val="clear" w:color="auto" w:fill="auto"/>
            <w:vAlign w:val="center"/>
          </w:tcPr>
          <w:p w14:paraId="7FCD9C3F">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冰箱用温度计</w:t>
            </w:r>
          </w:p>
        </w:tc>
        <w:tc>
          <w:tcPr>
            <w:tcW w:w="0" w:type="auto"/>
            <w:shd w:val="clear" w:color="auto" w:fill="auto"/>
            <w:vAlign w:val="center"/>
          </w:tcPr>
          <w:p w14:paraId="13C5E3C8">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可以测量冰箱、冷库、车间等的环境温度</w:t>
            </w:r>
          </w:p>
        </w:tc>
        <w:tc>
          <w:tcPr>
            <w:tcW w:w="0" w:type="auto"/>
            <w:shd w:val="clear" w:color="auto" w:fill="auto"/>
            <w:vAlign w:val="center"/>
          </w:tcPr>
          <w:p w14:paraId="0B245C73">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量程-30℃至40℃。</w:t>
            </w:r>
          </w:p>
        </w:tc>
        <w:tc>
          <w:tcPr>
            <w:tcW w:w="0" w:type="auto"/>
            <w:vAlign w:val="center"/>
          </w:tcPr>
          <w:p w14:paraId="798C6CE1">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22BB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05FE616D">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6</w:t>
            </w:r>
          </w:p>
        </w:tc>
        <w:tc>
          <w:tcPr>
            <w:tcW w:w="0" w:type="auto"/>
            <w:shd w:val="clear" w:color="auto" w:fill="auto"/>
            <w:vAlign w:val="center"/>
          </w:tcPr>
          <w:p w14:paraId="026A8619">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医用供氧器</w:t>
            </w:r>
          </w:p>
        </w:tc>
        <w:tc>
          <w:tcPr>
            <w:tcW w:w="0" w:type="auto"/>
            <w:shd w:val="clear" w:color="auto" w:fill="auto"/>
            <w:vAlign w:val="center"/>
          </w:tcPr>
          <w:p w14:paraId="27012168">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专门用于给病人供氧的医疗设备，将空气中的氧气提高浓度并送到病人的呼吸系统之中，以保证病人的呼吸功能正常。</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充氧后用于医疗机构提供急救用氧。</w:t>
            </w:r>
          </w:p>
        </w:tc>
        <w:tc>
          <w:tcPr>
            <w:tcW w:w="0" w:type="auto"/>
            <w:shd w:val="clear" w:color="auto" w:fill="auto"/>
            <w:vAlign w:val="center"/>
          </w:tcPr>
          <w:p w14:paraId="54C5C128">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氧气钢瓶、压力表、供氧开关、流量表、供氧流量开关、氧桥、一次性使用吸氧管、加湿器、面置式吸氧管组成。2L。</w:t>
            </w:r>
          </w:p>
        </w:tc>
        <w:tc>
          <w:tcPr>
            <w:tcW w:w="0" w:type="auto"/>
            <w:vAlign w:val="center"/>
          </w:tcPr>
          <w:p w14:paraId="3E32573A">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6343B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146EA1E5">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7</w:t>
            </w:r>
          </w:p>
        </w:tc>
        <w:tc>
          <w:tcPr>
            <w:tcW w:w="0" w:type="auto"/>
            <w:shd w:val="clear" w:color="auto" w:fill="auto"/>
            <w:vAlign w:val="center"/>
          </w:tcPr>
          <w:p w14:paraId="2EE854AC">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床边输液架</w:t>
            </w:r>
          </w:p>
        </w:tc>
        <w:tc>
          <w:tcPr>
            <w:tcW w:w="0" w:type="auto"/>
            <w:shd w:val="clear" w:color="auto" w:fill="auto"/>
            <w:vAlign w:val="center"/>
          </w:tcPr>
          <w:p w14:paraId="6815913F">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主要用于输液支持。</w:t>
            </w:r>
          </w:p>
        </w:tc>
        <w:tc>
          <w:tcPr>
            <w:tcW w:w="0" w:type="auto"/>
            <w:shd w:val="clear" w:color="auto" w:fill="auto"/>
            <w:vAlign w:val="center"/>
          </w:tcPr>
          <w:p w14:paraId="24DE2A37">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71953078">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5FDFE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4C10684E">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8</w:t>
            </w:r>
          </w:p>
        </w:tc>
        <w:tc>
          <w:tcPr>
            <w:tcW w:w="0" w:type="auto"/>
            <w:shd w:val="clear" w:color="auto" w:fill="auto"/>
            <w:vAlign w:val="center"/>
          </w:tcPr>
          <w:p w14:paraId="180B3988">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移动输液架</w:t>
            </w:r>
          </w:p>
        </w:tc>
        <w:tc>
          <w:tcPr>
            <w:tcW w:w="0" w:type="auto"/>
            <w:shd w:val="clear" w:color="auto" w:fill="auto"/>
            <w:vAlign w:val="center"/>
          </w:tcPr>
          <w:p w14:paraId="269166E3">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带轮子的移动式输液架，方便输液病人移动。</w:t>
            </w:r>
          </w:p>
        </w:tc>
        <w:tc>
          <w:tcPr>
            <w:tcW w:w="0" w:type="auto"/>
            <w:shd w:val="clear" w:color="auto" w:fill="auto"/>
            <w:vAlign w:val="center"/>
          </w:tcPr>
          <w:p w14:paraId="64705509">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595E9D6A">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5094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337A8866">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9</w:t>
            </w:r>
          </w:p>
        </w:tc>
        <w:tc>
          <w:tcPr>
            <w:tcW w:w="0" w:type="auto"/>
            <w:shd w:val="clear" w:color="auto" w:fill="auto"/>
            <w:vAlign w:val="center"/>
          </w:tcPr>
          <w:p w14:paraId="00F3AE66">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电动吸引器</w:t>
            </w:r>
          </w:p>
        </w:tc>
        <w:tc>
          <w:tcPr>
            <w:tcW w:w="0" w:type="auto"/>
            <w:shd w:val="clear" w:color="auto" w:fill="auto"/>
            <w:vAlign w:val="center"/>
          </w:tcPr>
          <w:p w14:paraId="2DFC361C">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用于吸除手术中出血、渗出物、脓液、胸腔脏器中的内容物，清除呼吸道分泌物等。</w:t>
            </w:r>
          </w:p>
        </w:tc>
        <w:tc>
          <w:tcPr>
            <w:tcW w:w="0" w:type="auto"/>
            <w:shd w:val="clear" w:color="auto" w:fill="auto"/>
            <w:vAlign w:val="center"/>
          </w:tcPr>
          <w:p w14:paraId="6A676FA7">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26690B03">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6F2954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507EEF58">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10</w:t>
            </w:r>
          </w:p>
        </w:tc>
        <w:tc>
          <w:tcPr>
            <w:tcW w:w="0" w:type="auto"/>
            <w:shd w:val="clear" w:color="auto" w:fill="auto"/>
            <w:vAlign w:val="center"/>
          </w:tcPr>
          <w:p w14:paraId="000D5C13">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氧气袋</w:t>
            </w:r>
          </w:p>
        </w:tc>
        <w:tc>
          <w:tcPr>
            <w:tcW w:w="0" w:type="auto"/>
            <w:shd w:val="clear" w:color="auto" w:fill="auto"/>
            <w:vAlign w:val="center"/>
          </w:tcPr>
          <w:p w14:paraId="07576397">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用于院前急救、患者转运中的氧气供给。</w:t>
            </w:r>
          </w:p>
        </w:tc>
        <w:tc>
          <w:tcPr>
            <w:tcW w:w="0" w:type="auto"/>
            <w:shd w:val="clear" w:color="auto" w:fill="auto"/>
            <w:vAlign w:val="center"/>
          </w:tcPr>
          <w:p w14:paraId="2B4CF4DE">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3CD232B9">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7D42C7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258B2908">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11</w:t>
            </w:r>
          </w:p>
        </w:tc>
        <w:tc>
          <w:tcPr>
            <w:tcW w:w="0" w:type="auto"/>
            <w:shd w:val="clear" w:color="auto" w:fill="auto"/>
            <w:vAlign w:val="center"/>
          </w:tcPr>
          <w:p w14:paraId="6F67FC24">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压缩雾化器</w:t>
            </w:r>
          </w:p>
        </w:tc>
        <w:tc>
          <w:tcPr>
            <w:tcW w:w="0" w:type="auto"/>
            <w:shd w:val="clear" w:color="auto" w:fill="auto"/>
            <w:vAlign w:val="center"/>
          </w:tcPr>
          <w:p w14:paraId="597D4F6C">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适用于急性咽炎、慢性阻塞性肺等疾病的雾化给药。</w:t>
            </w:r>
          </w:p>
        </w:tc>
        <w:tc>
          <w:tcPr>
            <w:tcW w:w="0" w:type="auto"/>
            <w:shd w:val="clear" w:color="auto" w:fill="auto"/>
            <w:vAlign w:val="center"/>
          </w:tcPr>
          <w:p w14:paraId="48844F7E">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26F95A54">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56B79D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1A830986">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12</w:t>
            </w:r>
          </w:p>
        </w:tc>
        <w:tc>
          <w:tcPr>
            <w:tcW w:w="0" w:type="auto"/>
            <w:shd w:val="clear" w:color="auto" w:fill="auto"/>
            <w:vAlign w:val="center"/>
          </w:tcPr>
          <w:p w14:paraId="5678109C">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电子血压计</w:t>
            </w:r>
          </w:p>
        </w:tc>
        <w:tc>
          <w:tcPr>
            <w:tcW w:w="0" w:type="auto"/>
            <w:shd w:val="clear" w:color="auto" w:fill="auto"/>
            <w:vAlign w:val="center"/>
          </w:tcPr>
          <w:p w14:paraId="6349C1CB">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供测量人体血压用。</w:t>
            </w:r>
          </w:p>
        </w:tc>
        <w:tc>
          <w:tcPr>
            <w:tcW w:w="0" w:type="auto"/>
            <w:shd w:val="clear" w:color="auto" w:fill="auto"/>
            <w:vAlign w:val="center"/>
          </w:tcPr>
          <w:p w14:paraId="71EB5EEA">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★含成人、新生儿及儿童用血压计</w:t>
            </w:r>
          </w:p>
        </w:tc>
        <w:tc>
          <w:tcPr>
            <w:tcW w:w="0" w:type="auto"/>
            <w:vAlign w:val="center"/>
          </w:tcPr>
          <w:p w14:paraId="01DDF9D9">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62CD3C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121A81AB">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13</w:t>
            </w:r>
          </w:p>
        </w:tc>
        <w:tc>
          <w:tcPr>
            <w:tcW w:w="0" w:type="auto"/>
            <w:shd w:val="clear" w:color="auto" w:fill="auto"/>
            <w:vAlign w:val="center"/>
          </w:tcPr>
          <w:p w14:paraId="65F7AB53">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氧气瓶推车</w:t>
            </w:r>
          </w:p>
        </w:tc>
        <w:tc>
          <w:tcPr>
            <w:tcW w:w="0" w:type="auto"/>
            <w:shd w:val="clear" w:color="auto" w:fill="auto"/>
            <w:vAlign w:val="center"/>
          </w:tcPr>
          <w:p w14:paraId="657C9923">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可以用于搬运氧气瓶。</w:t>
            </w:r>
          </w:p>
        </w:tc>
        <w:tc>
          <w:tcPr>
            <w:tcW w:w="0" w:type="auto"/>
            <w:shd w:val="clear" w:color="auto" w:fill="auto"/>
            <w:vAlign w:val="center"/>
          </w:tcPr>
          <w:p w14:paraId="7F05F20A">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73CEA39F">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13E8F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1DBC5202">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14</w:t>
            </w:r>
          </w:p>
        </w:tc>
        <w:tc>
          <w:tcPr>
            <w:tcW w:w="0" w:type="auto"/>
            <w:shd w:val="clear" w:color="auto" w:fill="auto"/>
            <w:vAlign w:val="center"/>
          </w:tcPr>
          <w:p w14:paraId="10473B92">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特定电磁波普治疗器</w:t>
            </w:r>
          </w:p>
        </w:tc>
        <w:tc>
          <w:tcPr>
            <w:tcW w:w="0" w:type="auto"/>
            <w:shd w:val="clear" w:color="auto" w:fill="auto"/>
            <w:vAlign w:val="center"/>
          </w:tcPr>
          <w:p w14:paraId="663AB235">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适用于运动性损伤，骨折愈合，伤口愈合，软组织损伤愈合等颈、肩、腰、腿痛的辅助治疗。</w:t>
            </w:r>
          </w:p>
        </w:tc>
        <w:tc>
          <w:tcPr>
            <w:tcW w:w="0" w:type="auto"/>
            <w:shd w:val="clear" w:color="auto" w:fill="auto"/>
            <w:vAlign w:val="center"/>
          </w:tcPr>
          <w:p w14:paraId="5BF9D931">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09CC2A39">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0DF20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066C6AFA">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15</w:t>
            </w:r>
          </w:p>
        </w:tc>
        <w:tc>
          <w:tcPr>
            <w:tcW w:w="0" w:type="auto"/>
            <w:shd w:val="clear" w:color="auto" w:fill="auto"/>
            <w:vAlign w:val="center"/>
          </w:tcPr>
          <w:p w14:paraId="79513AE6">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体重秤</w:t>
            </w:r>
          </w:p>
        </w:tc>
        <w:tc>
          <w:tcPr>
            <w:tcW w:w="0" w:type="auto"/>
            <w:shd w:val="clear" w:color="auto" w:fill="auto"/>
            <w:vAlign w:val="center"/>
          </w:tcPr>
          <w:p w14:paraId="69C3848A">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体重秤的作用主要是准确的称量人体的体重。</w:t>
            </w:r>
          </w:p>
        </w:tc>
        <w:tc>
          <w:tcPr>
            <w:tcW w:w="0" w:type="auto"/>
            <w:shd w:val="clear" w:color="auto" w:fill="auto"/>
            <w:vAlign w:val="center"/>
          </w:tcPr>
          <w:p w14:paraId="13DA52FA">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0ACF1332">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74CC0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446B7379">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16</w:t>
            </w:r>
          </w:p>
        </w:tc>
        <w:tc>
          <w:tcPr>
            <w:tcW w:w="0" w:type="auto"/>
            <w:shd w:val="clear" w:color="auto" w:fill="auto"/>
            <w:vAlign w:val="center"/>
          </w:tcPr>
          <w:p w14:paraId="6ABD817A">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手动轮椅车</w:t>
            </w:r>
          </w:p>
        </w:tc>
        <w:tc>
          <w:tcPr>
            <w:tcW w:w="0" w:type="auto"/>
            <w:shd w:val="clear" w:color="auto" w:fill="auto"/>
            <w:vAlign w:val="center"/>
          </w:tcPr>
          <w:p w14:paraId="77A325C3">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轮椅是装有轮子可以帮助替代行走的椅子，是用于伤员、病员、残疾人居家康复、周转运输、就诊、外出活动的重要移动工具。</w:t>
            </w:r>
          </w:p>
        </w:tc>
        <w:tc>
          <w:tcPr>
            <w:tcW w:w="0" w:type="auto"/>
            <w:shd w:val="clear" w:color="auto" w:fill="auto"/>
            <w:vAlign w:val="center"/>
          </w:tcPr>
          <w:p w14:paraId="5F8F3802">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6686045E">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27D73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277863D3">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17</w:t>
            </w:r>
          </w:p>
        </w:tc>
        <w:tc>
          <w:tcPr>
            <w:tcW w:w="0" w:type="auto"/>
            <w:shd w:val="clear" w:color="auto" w:fill="auto"/>
            <w:vAlign w:val="center"/>
          </w:tcPr>
          <w:p w14:paraId="601802C4">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手术辅助照明灯</w:t>
            </w:r>
          </w:p>
        </w:tc>
        <w:tc>
          <w:tcPr>
            <w:tcW w:w="0" w:type="auto"/>
            <w:shd w:val="clear" w:color="auto" w:fill="auto"/>
            <w:vAlign w:val="center"/>
          </w:tcPr>
          <w:p w14:paraId="19E5ADAE">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适用于对病人身体的局部照明，以作为对诊断和治疗得辅助手段。</w:t>
            </w:r>
          </w:p>
        </w:tc>
        <w:tc>
          <w:tcPr>
            <w:tcW w:w="0" w:type="auto"/>
            <w:shd w:val="clear" w:color="auto" w:fill="auto"/>
            <w:vAlign w:val="center"/>
          </w:tcPr>
          <w:p w14:paraId="01B6DA9A">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67D0A310">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58A7EF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1CE38172">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18</w:t>
            </w:r>
          </w:p>
        </w:tc>
        <w:tc>
          <w:tcPr>
            <w:tcW w:w="0" w:type="auto"/>
            <w:shd w:val="clear" w:color="auto" w:fill="auto"/>
            <w:vAlign w:val="center"/>
          </w:tcPr>
          <w:p w14:paraId="040C8865">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指尖脉搏血氧仪</w:t>
            </w:r>
          </w:p>
        </w:tc>
        <w:tc>
          <w:tcPr>
            <w:tcW w:w="0" w:type="auto"/>
            <w:shd w:val="clear" w:color="auto" w:fill="auto"/>
            <w:vAlign w:val="center"/>
          </w:tcPr>
          <w:p w14:paraId="41329072">
            <w:pPr>
              <w:keepNext w:val="0"/>
              <w:keepLines w:val="0"/>
              <w:widowControl/>
              <w:suppressLineNumbers w:val="0"/>
              <w:jc w:val="left"/>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主要用于检测血氧饱和度、脉率等。通常用于指尖部位，临床上常用于监测生命体征，需要直接与指甲接触。</w:t>
            </w:r>
          </w:p>
        </w:tc>
        <w:tc>
          <w:tcPr>
            <w:tcW w:w="0" w:type="auto"/>
            <w:shd w:val="clear" w:color="auto" w:fill="auto"/>
            <w:vAlign w:val="center"/>
          </w:tcPr>
          <w:p w14:paraId="59AB28EA">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w:t>
            </w:r>
          </w:p>
        </w:tc>
        <w:tc>
          <w:tcPr>
            <w:tcW w:w="0" w:type="auto"/>
            <w:vAlign w:val="center"/>
          </w:tcPr>
          <w:p w14:paraId="58C4679A">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C5CF7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655DF9CB">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19</w:t>
            </w:r>
          </w:p>
        </w:tc>
        <w:tc>
          <w:tcPr>
            <w:tcW w:w="0" w:type="auto"/>
            <w:shd w:val="clear" w:color="auto" w:fill="auto"/>
            <w:vAlign w:val="center"/>
          </w:tcPr>
          <w:p w14:paraId="4C05C64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脉搏血样饱和仪</w:t>
            </w:r>
          </w:p>
        </w:tc>
        <w:tc>
          <w:tcPr>
            <w:tcW w:w="0" w:type="auto"/>
            <w:shd w:val="clear" w:color="auto" w:fill="auto"/>
            <w:vAlign w:val="center"/>
          </w:tcPr>
          <w:p w14:paraId="3DA098E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主要用于检测血氧饱和度、脉率等，临床上常用于监测生命体征。</w:t>
            </w:r>
          </w:p>
        </w:tc>
        <w:tc>
          <w:tcPr>
            <w:tcW w:w="0" w:type="auto"/>
            <w:shd w:val="clear" w:color="auto" w:fill="auto"/>
            <w:vAlign w:val="center"/>
          </w:tcPr>
          <w:p w14:paraId="6C1BE8D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★含新生儿用型号</w:t>
            </w:r>
          </w:p>
        </w:tc>
        <w:tc>
          <w:tcPr>
            <w:tcW w:w="0" w:type="auto"/>
            <w:vAlign w:val="center"/>
          </w:tcPr>
          <w:p w14:paraId="65723E62">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4FCE23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4E16EB4E">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20</w:t>
            </w:r>
          </w:p>
        </w:tc>
        <w:tc>
          <w:tcPr>
            <w:tcW w:w="0" w:type="auto"/>
            <w:shd w:val="clear" w:color="auto" w:fill="auto"/>
            <w:vAlign w:val="center"/>
          </w:tcPr>
          <w:p w14:paraId="400A720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视力表灯箱</w:t>
            </w:r>
          </w:p>
        </w:tc>
        <w:tc>
          <w:tcPr>
            <w:tcW w:w="0" w:type="auto"/>
            <w:shd w:val="clear" w:color="auto" w:fill="auto"/>
            <w:vAlign w:val="center"/>
          </w:tcPr>
          <w:p w14:paraId="45554BA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主要用于眼科诊断中进行视力测试。它具有特殊光照条件的设备，配有标准视力表，用于测量患者的视力。</w:t>
            </w:r>
          </w:p>
        </w:tc>
        <w:tc>
          <w:tcPr>
            <w:tcW w:w="0" w:type="auto"/>
            <w:shd w:val="clear" w:color="auto" w:fill="auto"/>
            <w:vAlign w:val="center"/>
          </w:tcPr>
          <w:p w14:paraId="57A9525E">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0" w:type="auto"/>
            <w:vAlign w:val="center"/>
          </w:tcPr>
          <w:p w14:paraId="0CEE7DC6">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65E8C3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0" w:type="auto"/>
            <w:vAlign w:val="center"/>
          </w:tcPr>
          <w:p w14:paraId="05CB6F74">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21</w:t>
            </w:r>
          </w:p>
        </w:tc>
        <w:tc>
          <w:tcPr>
            <w:tcW w:w="0" w:type="auto"/>
            <w:shd w:val="clear" w:color="auto" w:fill="auto"/>
            <w:vAlign w:val="center"/>
          </w:tcPr>
          <w:p w14:paraId="2D5EF44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电子针疗仪</w:t>
            </w:r>
          </w:p>
        </w:tc>
        <w:tc>
          <w:tcPr>
            <w:tcW w:w="0" w:type="auto"/>
            <w:shd w:val="clear" w:color="auto" w:fill="auto"/>
            <w:vAlign w:val="center"/>
          </w:tcPr>
          <w:p w14:paraId="41B5067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供人体穴位进行低频电脉冲治疗。适用于腰酸背痛、神经麻痹、肌肉酸楚痛症、痹症的辅助治疗。</w:t>
            </w:r>
          </w:p>
        </w:tc>
        <w:tc>
          <w:tcPr>
            <w:tcW w:w="0" w:type="auto"/>
            <w:shd w:val="clear" w:color="auto" w:fill="auto"/>
            <w:vAlign w:val="center"/>
          </w:tcPr>
          <w:p w14:paraId="10ABBE56">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0" w:type="auto"/>
            <w:vAlign w:val="center"/>
          </w:tcPr>
          <w:p w14:paraId="3B3C8299">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7BCF06D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3E15715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一、样品要求</w:t>
      </w:r>
    </w:p>
    <w:p w14:paraId="0B4AF699">
      <w:pPr>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6AFE5291">
      <w:pPr>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2.提交的样品不符合实际需求或存在原理错误则视为无效响应。</w:t>
      </w:r>
    </w:p>
    <w:p w14:paraId="0EA33CCD">
      <w:pPr>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3.本项目竞选人提供的样品，应与该竞选人响应文件保持一致（具体参考《医疗器械说明书和标签管理规定》）。</w:t>
      </w:r>
    </w:p>
    <w:p w14:paraId="4B1BA31D">
      <w:pPr>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1081EBE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二、商务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399ED1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1.交货期及地点</w:t>
      </w:r>
    </w:p>
    <w:p w14:paraId="7C239A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79FBA9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sz w:val="20"/>
          <w:szCs w:val="22"/>
          <w:highlight w:val="none"/>
          <w:lang w:val="en-US" w:eastAsia="zh-CN"/>
        </w:rPr>
      </w:pPr>
      <w:r>
        <w:rPr>
          <w:rFonts w:hint="eastAsia" w:ascii="仿宋" w:hAnsi="仿宋" w:eastAsia="仿宋" w:cs="仿宋"/>
          <w:color w:val="000000"/>
          <w:sz w:val="22"/>
          <w:szCs w:val="22"/>
          <w:highlight w:val="none"/>
          <w:lang w:val="en-US" w:eastAsia="zh-CN"/>
        </w:rPr>
        <w:t>（2）交货地点：内江市第一人民医院指定地点。</w:t>
      </w:r>
    </w:p>
    <w:p w14:paraId="7BE30B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2.付款方法和条件</w:t>
      </w:r>
    </w:p>
    <w:p w14:paraId="30624D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（1）.结算方式：双方同意以采购人财务制度规定的付款时间及付款要求进行结算，投标人已完全了解并清楚采购人的财务制度，投标人对采购人财务制度规定的付款要求及付款时间不持异议。</w:t>
      </w:r>
    </w:p>
    <w:p w14:paraId="0E203A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（2）.成交价格包含成本、运输、包装、培训、配送、伴随服务、税费及其他附加费用</w:t>
      </w:r>
      <w:r>
        <w:rPr>
          <w:rFonts w:hint="eastAsia" w:ascii="仿宋" w:hAnsi="仿宋" w:eastAsia="仿宋" w:cs="仿宋"/>
          <w:color w:val="000000"/>
          <w:sz w:val="22"/>
          <w:szCs w:val="22"/>
          <w:highlight w:val="none"/>
          <w:lang w:val="en-US" w:eastAsia="zh-Hans"/>
        </w:rPr>
        <w:t>等一切费用</w:t>
      </w:r>
      <w:r>
        <w:rPr>
          <w:rFonts w:hint="eastAsia" w:ascii="仿宋" w:hAnsi="仿宋" w:eastAsia="仿宋" w:cs="仿宋"/>
          <w:color w:val="000000"/>
          <w:sz w:val="22"/>
          <w:szCs w:val="22"/>
          <w:highlight w:val="none"/>
          <w:lang w:val="en-US" w:eastAsia="zh-CN"/>
        </w:rPr>
        <w:t>。</w:t>
      </w:r>
    </w:p>
    <w:p w14:paraId="503D43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（3）.若本项目中限定了标的数量或金额，中标人应严格按照响应内容执行，采购人有权拒绝支付超出响应范围</w:t>
      </w:r>
      <w:r>
        <w:rPr>
          <w:rFonts w:hint="eastAsia" w:ascii="仿宋" w:hAnsi="仿宋" w:eastAsia="仿宋" w:cs="仿宋"/>
          <w:color w:val="000000"/>
          <w:sz w:val="22"/>
          <w:szCs w:val="22"/>
          <w:highlight w:val="none"/>
          <w:lang w:val="en-US" w:eastAsia="zh-Hans"/>
        </w:rPr>
        <w:t>的</w:t>
      </w:r>
      <w:r>
        <w:rPr>
          <w:rFonts w:hint="eastAsia" w:ascii="仿宋" w:hAnsi="仿宋" w:eastAsia="仿宋" w:cs="仿宋"/>
          <w:color w:val="000000"/>
          <w:sz w:val="22"/>
          <w:szCs w:val="22"/>
          <w:highlight w:val="none"/>
          <w:lang w:val="en-US" w:eastAsia="zh-CN"/>
        </w:rPr>
        <w:t>任何内容。</w:t>
      </w:r>
    </w:p>
    <w:p w14:paraId="659B7F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3.医用耗材质量保证</w:t>
      </w:r>
    </w:p>
    <w:p w14:paraId="46A4D6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（1）中标人须提供原厂生产的未曾使用过的、全新的合格的货品（含配套配件等），表面无划伤、无破损痕迹，且权属清楚，不得侵害他人的合法权利。</w:t>
      </w:r>
    </w:p>
    <w:p w14:paraId="602E2C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483FA6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highlight w:val="none"/>
          <w:lang w:val="en-US" w:eastAsia="zh-Hans"/>
        </w:rPr>
        <w:t>中标人还应</w:t>
      </w:r>
      <w:r>
        <w:rPr>
          <w:rFonts w:hint="eastAsia" w:ascii="仿宋" w:hAnsi="仿宋" w:eastAsia="仿宋" w:cs="仿宋"/>
          <w:color w:val="000000"/>
          <w:sz w:val="22"/>
          <w:szCs w:val="22"/>
          <w:highlight w:val="none"/>
        </w:rPr>
        <w:t>负责赔偿</w:t>
      </w:r>
      <w:r>
        <w:rPr>
          <w:rFonts w:hint="eastAsia" w:ascii="仿宋" w:hAnsi="仿宋" w:eastAsia="仿宋" w:cs="仿宋"/>
          <w:color w:val="000000"/>
          <w:sz w:val="22"/>
          <w:szCs w:val="22"/>
          <w:highlight w:val="none"/>
          <w:lang w:val="en-US" w:eastAsia="zh-CN"/>
        </w:rPr>
        <w:t>采购人</w:t>
      </w:r>
      <w:r>
        <w:rPr>
          <w:rFonts w:hint="eastAsia" w:ascii="仿宋" w:hAnsi="仿宋" w:eastAsia="仿宋" w:cs="仿宋"/>
          <w:color w:val="000000"/>
          <w:sz w:val="22"/>
          <w:szCs w:val="22"/>
          <w:highlight w:val="none"/>
        </w:rPr>
        <w:t>由此而遭受的全部损失。</w:t>
      </w:r>
    </w:p>
    <w:p w14:paraId="2A3F62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（4）中标人保证其提供货品的安全可靠性。在正常使用下不应对使用者造成任何人身伤害，如因产品质量或标示不明确而对使用者造成损失的，由中标人承担相应责任。</w:t>
      </w:r>
    </w:p>
    <w:p w14:paraId="1F1F02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50234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（6）中标人保证所供耗材有效期不低于1年，自通过最终验收之日起，确保采购人在使用耗材的过程中安全、有效。</w:t>
      </w:r>
    </w:p>
    <w:p w14:paraId="44F248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4.验收</w:t>
      </w:r>
    </w:p>
    <w:p w14:paraId="0EF991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76F67E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308716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3CA47A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（4）其他未尽事宜严格按照《财政部关于进一步加强政府采购需求和履约验收管理的指导意见》（财库〔2016〕205号）的要求进行。</w:t>
      </w:r>
    </w:p>
    <w:p w14:paraId="50B781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5.售后服务</w:t>
      </w:r>
    </w:p>
    <w:p w14:paraId="54879D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1E5C7F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（2）要求中标人指派专人负责与采购人联系售后服务事宜；在投标文件中列明售后联系人及联系电话。</w:t>
      </w:r>
    </w:p>
    <w:p w14:paraId="47C5FD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81FCE3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（4）耗材临近失效期，采购人提前三个月向中标人提出更换，中标人须在耗材失效前一个月更换完毕，不得以任何理由进行推诿。</w:t>
      </w:r>
    </w:p>
    <w:p w14:paraId="079A20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（5）中标人必须随货提供其具备医疗器械经营企业的有关合法有效的手续（包括但不限于）：</w:t>
      </w:r>
    </w:p>
    <w:p w14:paraId="578DD2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1).产品所涉及逐级授权经销商的医疗器械生产（经营）许可证或生产（经营）企业备案表；</w:t>
      </w:r>
    </w:p>
    <w:p w14:paraId="114B1B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2).医疗器械产品注册证或备案凭证；</w:t>
      </w:r>
    </w:p>
    <w:p w14:paraId="2034A2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3).医疗器械生产企业许可证；</w:t>
      </w:r>
    </w:p>
    <w:p w14:paraId="095228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4).经销商获得的委托授权书（逐级）；</w:t>
      </w:r>
    </w:p>
    <w:p w14:paraId="2EFA9E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5).产品所涉及逐级授权经销商的企业法人营业执照。</w:t>
      </w:r>
    </w:p>
    <w:p w14:paraId="1B0D59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6).采购人要求提供的相关资料。</w:t>
      </w:r>
    </w:p>
    <w:p w14:paraId="75A0B2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261BA2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 xml:space="preserve">6.包装和运输 </w:t>
      </w:r>
    </w:p>
    <w:p w14:paraId="618388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 xml:space="preserve">（1）成交投标人须严格按照《商品包装政府采购需求标准(试行)》、《快递包装政府采购需 求标准(试行)》(财办库〔2020〕123 号)的要求进行产品及相关快递服务的包装。 </w:t>
      </w:r>
    </w:p>
    <w:p w14:paraId="1A84EB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12743752">
      <w:pPr>
        <w:spacing w:line="24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sz w:val="22"/>
          <w:szCs w:val="22"/>
          <w:highlight w:val="none"/>
          <w:lang w:val="en-US" w:eastAsia="zh-CN"/>
        </w:rPr>
        <w:t>（3）本次采购的标的物需要运输，投标人在合同约定的时间内将标的物运输至合同约定地点</w:t>
      </w:r>
      <w:r>
        <w:rPr>
          <w:rFonts w:hint="eastAsia" w:ascii="仿宋" w:hAnsi="仿宋" w:eastAsia="仿宋" w:cs="仿宋"/>
          <w:color w:val="000000"/>
          <w:kern w:val="0"/>
          <w:sz w:val="22"/>
          <w:szCs w:val="22"/>
          <w:highlight w:val="none"/>
          <w:u w:val="none"/>
          <w:lang w:val="en-US" w:eastAsia="zh-CN" w:bidi="ar"/>
        </w:rPr>
        <w:t>。</w:t>
      </w:r>
    </w:p>
    <w:p w14:paraId="435BDA94">
      <w:pPr>
        <w:pStyle w:val="11"/>
        <w:spacing w:line="240" w:lineRule="auto"/>
        <w:jc w:val="left"/>
        <w:outlineLvl w:val="1"/>
        <w:rPr>
          <w:rFonts w:hint="eastAsia" w:ascii="仿宋" w:hAnsi="仿宋" w:eastAsia="仿宋" w:cs="仿宋"/>
          <w:highlight w:val="none"/>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3.4.其他要求</w:t>
      </w:r>
    </w:p>
    <w:p w14:paraId="3507913C">
      <w:pPr>
        <w:pStyle w:val="11"/>
        <w:keepNext w:val="0"/>
        <w:keepLines w:val="0"/>
        <w:pageBreakBefore w:val="0"/>
        <w:kinsoku/>
        <w:wordWrap/>
        <w:overflowPunct/>
        <w:topLinePunct w:val="0"/>
        <w:autoSpaceDE/>
        <w:autoSpaceDN/>
        <w:bidi w:val="0"/>
        <w:adjustRightInd/>
        <w:snapToGrid/>
        <w:spacing w:line="240" w:lineRule="auto"/>
        <w:jc w:val="left"/>
        <w:outlineLvl w:val="2"/>
        <w:rPr>
          <w:rFonts w:hint="eastAsia" w:ascii="仿宋" w:hAnsi="仿宋" w:eastAsia="仿宋" w:cs="仿宋"/>
          <w:b/>
          <w:bCs/>
          <w:sz w:val="24"/>
          <w:szCs w:val="24"/>
          <w:highlight w:val="none"/>
          <w:lang w:val="en-US" w:eastAsia="zh-CN"/>
        </w:rPr>
      </w:pPr>
      <w:r>
        <w:rPr>
          <w:rFonts w:hint="eastAsia" w:ascii="仿宋" w:hAnsi="仿宋" w:eastAsia="仿宋" w:cs="仿宋"/>
          <w:b/>
          <w:bCs/>
          <w:sz w:val="28"/>
          <w:szCs w:val="28"/>
          <w:highlight w:val="none"/>
          <w:lang w:val="en-US" w:eastAsia="zh-CN"/>
        </w:rPr>
        <w:t>一、违约责任与解决争议的方法：</w:t>
      </w:r>
    </w:p>
    <w:p w14:paraId="5DE7AE51">
      <w:pPr>
        <w:pStyle w:val="11"/>
        <w:keepNext w:val="0"/>
        <w:keepLines w:val="0"/>
        <w:pageBreakBefore w:val="0"/>
        <w:kinsoku/>
        <w:wordWrap/>
        <w:overflowPunct/>
        <w:topLinePunct w:val="0"/>
        <w:autoSpaceDE/>
        <w:autoSpaceDN/>
        <w:bidi w:val="0"/>
        <w:adjustRightInd/>
        <w:snapToGrid/>
        <w:spacing w:line="240" w:lineRule="auto"/>
        <w:ind w:firstLine="442" w:firstLineChars="200"/>
        <w:jc w:val="left"/>
        <w:outlineLvl w:val="9"/>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1.违约责任</w:t>
      </w:r>
    </w:p>
    <w:p w14:paraId="4E60EE6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一</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逾期15日内不能提供</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所需医用耗材的，应向</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每日支付该批次货款千分之三的违约金。</w:t>
      </w:r>
    </w:p>
    <w:p w14:paraId="511F909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二</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逾期15日及以上不能交付以上产品的，视同不能供货，须向</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支付该批次货款的10%的违约金，同时</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可以单方面解除</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w:t>
      </w:r>
    </w:p>
    <w:p w14:paraId="30F41C4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三</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rPr>
        <w:t>若因</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原因造成</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被监管部门通报三次及以上的或者</w:t>
      </w:r>
      <w:r>
        <w:rPr>
          <w:rFonts w:hint="eastAsia" w:ascii="仿宋" w:hAnsi="仿宋" w:eastAsia="仿宋" w:cs="仿宋"/>
          <w:color w:val="auto"/>
          <w:sz w:val="22"/>
          <w:szCs w:val="22"/>
          <w:highlight w:val="none"/>
          <w:shd w:val="clear" w:color="auto" w:fill="auto"/>
          <w:lang w:eastAsia="zh-CN"/>
        </w:rPr>
        <w:t>造成采购人违规采购</w:t>
      </w:r>
      <w:r>
        <w:rPr>
          <w:rFonts w:hint="eastAsia" w:ascii="仿宋" w:hAnsi="仿宋" w:eastAsia="仿宋" w:cs="仿宋"/>
          <w:color w:val="auto"/>
          <w:sz w:val="22"/>
          <w:szCs w:val="22"/>
          <w:highlight w:val="none"/>
          <w:shd w:val="clear" w:color="auto" w:fill="auto"/>
        </w:rPr>
        <w:t>，</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有权单方面解除</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w:t>
      </w:r>
      <w:r>
        <w:rPr>
          <w:rFonts w:hint="eastAsia" w:ascii="仿宋" w:hAnsi="仿宋" w:eastAsia="仿宋" w:cs="仿宋"/>
          <w:color w:val="auto"/>
          <w:sz w:val="22"/>
          <w:szCs w:val="22"/>
          <w:highlight w:val="none"/>
          <w:shd w:val="clear" w:color="auto" w:fill="auto"/>
          <w:lang w:eastAsia="zh-CN"/>
        </w:rPr>
        <w:t>同时，采购人有权要求中标人支付该批货物价款</w:t>
      </w:r>
      <w:r>
        <w:rPr>
          <w:rFonts w:hint="eastAsia" w:ascii="仿宋" w:hAnsi="仿宋" w:eastAsia="仿宋" w:cs="仿宋"/>
          <w:color w:val="auto"/>
          <w:sz w:val="22"/>
          <w:szCs w:val="22"/>
          <w:highlight w:val="none"/>
          <w:shd w:val="clear" w:color="auto" w:fill="auto"/>
          <w:lang w:val="en-US" w:eastAsia="zh-CN"/>
        </w:rPr>
        <w:t>20%</w:t>
      </w:r>
      <w:r>
        <w:rPr>
          <w:rFonts w:hint="eastAsia" w:ascii="仿宋" w:hAnsi="仿宋" w:eastAsia="仿宋" w:cs="仿宋"/>
          <w:color w:val="auto"/>
          <w:sz w:val="22"/>
          <w:szCs w:val="22"/>
          <w:highlight w:val="none"/>
          <w:shd w:val="clear" w:color="auto" w:fill="auto"/>
          <w:lang w:eastAsia="zh-CN"/>
        </w:rPr>
        <w:t>的违约金</w:t>
      </w:r>
      <w:r>
        <w:rPr>
          <w:rFonts w:hint="eastAsia" w:ascii="仿宋" w:hAnsi="仿宋" w:eastAsia="仿宋" w:cs="仿宋"/>
          <w:color w:val="auto"/>
          <w:sz w:val="22"/>
          <w:szCs w:val="22"/>
          <w:highlight w:val="none"/>
          <w:shd w:val="clear" w:color="auto" w:fill="auto"/>
        </w:rPr>
        <w:t>。</w:t>
      </w:r>
    </w:p>
    <w:p w14:paraId="4AB94D7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四</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销售的产品若发生严重医疗不良事件或被国家法定检测机构检测为不合格产品，视为</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违约导致不能实现</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目的，</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有权单方面解除</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，并要求</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限期收回不合格产品，并要求</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需承担合同价款20%的违约金，违约金不足以</w:t>
      </w:r>
      <w:r>
        <w:rPr>
          <w:rFonts w:hint="eastAsia" w:ascii="仿宋" w:hAnsi="仿宋" w:eastAsia="仿宋" w:cs="仿宋"/>
          <w:color w:val="auto"/>
          <w:sz w:val="22"/>
          <w:szCs w:val="22"/>
          <w:highlight w:val="none"/>
          <w:shd w:val="clear" w:color="auto" w:fill="auto"/>
          <w:lang w:val="en-US" w:eastAsia="zh-Hans"/>
        </w:rPr>
        <w:t>弥补</w:t>
      </w:r>
      <w:r>
        <w:rPr>
          <w:rFonts w:hint="eastAsia" w:ascii="仿宋" w:hAnsi="仿宋" w:eastAsia="仿宋" w:cs="仿宋"/>
          <w:color w:val="auto"/>
          <w:sz w:val="22"/>
          <w:szCs w:val="22"/>
          <w:highlight w:val="none"/>
          <w:shd w:val="clear" w:color="auto" w:fill="auto"/>
          <w:lang w:val="en-US" w:eastAsia="zh-CN"/>
        </w:rPr>
        <w:t>采购人</w:t>
      </w:r>
      <w:r>
        <w:rPr>
          <w:rFonts w:hint="eastAsia" w:ascii="仿宋" w:hAnsi="仿宋" w:eastAsia="仿宋" w:cs="仿宋"/>
          <w:color w:val="auto"/>
          <w:sz w:val="22"/>
          <w:szCs w:val="22"/>
          <w:highlight w:val="none"/>
          <w:shd w:val="clear" w:color="auto" w:fill="auto"/>
        </w:rPr>
        <w:t>损失的，</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还应当</w:t>
      </w:r>
      <w:r>
        <w:rPr>
          <w:rFonts w:hint="eastAsia" w:ascii="仿宋" w:hAnsi="仿宋" w:eastAsia="仿宋" w:cs="仿宋"/>
          <w:color w:val="auto"/>
          <w:sz w:val="22"/>
          <w:szCs w:val="22"/>
          <w:highlight w:val="none"/>
          <w:shd w:val="clear" w:color="auto" w:fill="auto"/>
          <w:lang w:val="en-US" w:eastAsia="zh-Hans"/>
        </w:rPr>
        <w:t>补足</w:t>
      </w:r>
      <w:r>
        <w:rPr>
          <w:rFonts w:hint="eastAsia" w:ascii="仿宋" w:hAnsi="仿宋" w:eastAsia="仿宋" w:cs="仿宋"/>
          <w:color w:val="auto"/>
          <w:sz w:val="22"/>
          <w:szCs w:val="22"/>
          <w:highlight w:val="none"/>
          <w:shd w:val="clear" w:color="auto" w:fill="auto"/>
        </w:rPr>
        <w:t>。</w:t>
      </w:r>
    </w:p>
    <w:p w14:paraId="714CFC1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即使产品已经验收入库（或安装调试完毕）后，</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才发现产品为不合格产品的，也视为</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违约，</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应当承担本条约定的责任。同时</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有权退回库存产品。</w:t>
      </w:r>
    </w:p>
    <w:p w14:paraId="09CF669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五</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rPr>
        <w:t>若根据法律规定或本协议约定产生</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退、换货或拒绝收货情形，由</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承担退换货产生的各项税、费或其他支出。</w:t>
      </w:r>
    </w:p>
    <w:p w14:paraId="1BCFF33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六</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不能保证及时供货，除应当向</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承担违约责任外，</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仍有权单方面解除</w:t>
      </w:r>
      <w:r>
        <w:rPr>
          <w:rFonts w:hint="eastAsia" w:ascii="仿宋" w:hAnsi="仿宋" w:eastAsia="仿宋" w:cs="仿宋"/>
          <w:color w:val="auto"/>
          <w:sz w:val="22"/>
          <w:szCs w:val="22"/>
          <w:highlight w:val="none"/>
          <w:shd w:val="clear" w:color="auto" w:fill="auto"/>
          <w:lang w:eastAsia="zh-CN"/>
        </w:rPr>
        <w:t>采购合同</w:t>
      </w:r>
      <w:r>
        <w:rPr>
          <w:rFonts w:hint="eastAsia" w:ascii="仿宋" w:hAnsi="仿宋" w:eastAsia="仿宋" w:cs="仿宋"/>
          <w:color w:val="auto"/>
          <w:sz w:val="22"/>
          <w:szCs w:val="22"/>
          <w:highlight w:val="none"/>
          <w:shd w:val="clear" w:color="auto" w:fill="auto"/>
        </w:rPr>
        <w:t>。</w:t>
      </w:r>
    </w:p>
    <w:p w14:paraId="7DAB276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七</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rPr>
        <w:t>因</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提供的产品不合格造成</w:t>
      </w:r>
      <w:r>
        <w:rPr>
          <w:rFonts w:hint="eastAsia" w:ascii="仿宋" w:hAnsi="仿宋" w:eastAsia="仿宋" w:cs="仿宋"/>
          <w:color w:val="auto"/>
          <w:sz w:val="22"/>
          <w:szCs w:val="22"/>
          <w:highlight w:val="none"/>
          <w:shd w:val="clear" w:color="auto" w:fill="auto"/>
          <w:lang w:eastAsia="zh-CN"/>
        </w:rPr>
        <w:t>采购人</w:t>
      </w:r>
      <w:r>
        <w:rPr>
          <w:rFonts w:hint="eastAsia" w:ascii="仿宋" w:hAnsi="仿宋" w:eastAsia="仿宋" w:cs="仿宋"/>
          <w:color w:val="auto"/>
          <w:sz w:val="22"/>
          <w:szCs w:val="22"/>
          <w:highlight w:val="none"/>
          <w:shd w:val="clear" w:color="auto" w:fill="auto"/>
        </w:rPr>
        <w:t>或第三人人身损害或财产损失的，由</w:t>
      </w:r>
      <w:r>
        <w:rPr>
          <w:rFonts w:hint="eastAsia" w:ascii="仿宋" w:hAnsi="仿宋" w:eastAsia="仿宋" w:cs="仿宋"/>
          <w:color w:val="auto"/>
          <w:sz w:val="22"/>
          <w:szCs w:val="22"/>
          <w:highlight w:val="none"/>
          <w:shd w:val="clear" w:color="auto" w:fill="auto"/>
          <w:lang w:eastAsia="zh-CN"/>
        </w:rPr>
        <w:t>中标人</w:t>
      </w:r>
      <w:r>
        <w:rPr>
          <w:rFonts w:hint="eastAsia" w:ascii="仿宋" w:hAnsi="仿宋" w:eastAsia="仿宋" w:cs="仿宋"/>
          <w:color w:val="auto"/>
          <w:sz w:val="22"/>
          <w:szCs w:val="22"/>
          <w:highlight w:val="none"/>
          <w:shd w:val="clear" w:color="auto" w:fill="auto"/>
        </w:rPr>
        <w:t>承担赔偿责任。</w:t>
      </w:r>
    </w:p>
    <w:p w14:paraId="7BEB86C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eastAsia="zh-CN"/>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八</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若因中标人原因造成采购人挂网执行存在问题以及线上支付不及时、造成采购人未挂网采购的或者存在其他问题的，中标人应承担违约责任，且</w:t>
      </w:r>
      <w:r>
        <w:rPr>
          <w:rFonts w:hint="eastAsia" w:ascii="仿宋" w:hAnsi="仿宋" w:eastAsia="仿宋" w:cs="仿宋"/>
          <w:color w:val="auto"/>
          <w:sz w:val="22"/>
          <w:szCs w:val="22"/>
          <w:highlight w:val="none"/>
          <w:shd w:val="clear" w:color="auto" w:fill="auto"/>
          <w:lang w:eastAsia="zh-CN"/>
        </w:rPr>
        <w:t>采购人有权要求中标人支付该批货物价款</w:t>
      </w:r>
      <w:r>
        <w:rPr>
          <w:rFonts w:hint="eastAsia" w:ascii="仿宋" w:hAnsi="仿宋" w:eastAsia="仿宋" w:cs="仿宋"/>
          <w:color w:val="auto"/>
          <w:sz w:val="22"/>
          <w:szCs w:val="22"/>
          <w:highlight w:val="none"/>
          <w:shd w:val="clear" w:color="auto" w:fill="auto"/>
          <w:lang w:val="en-US" w:eastAsia="zh-CN"/>
        </w:rPr>
        <w:t>20%</w:t>
      </w:r>
      <w:r>
        <w:rPr>
          <w:rFonts w:hint="eastAsia" w:ascii="仿宋" w:hAnsi="仿宋" w:eastAsia="仿宋" w:cs="仿宋"/>
          <w:color w:val="auto"/>
          <w:sz w:val="22"/>
          <w:szCs w:val="22"/>
          <w:highlight w:val="none"/>
          <w:shd w:val="clear" w:color="auto" w:fill="auto"/>
          <w:lang w:eastAsia="zh-CN"/>
        </w:rPr>
        <w:t>的违约金，采购人有权单方面解除合同。</w:t>
      </w:r>
    </w:p>
    <w:p w14:paraId="14202B70">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九</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Hans"/>
        </w:rPr>
        <w:t>供应商</w:t>
      </w:r>
      <w:r>
        <w:rPr>
          <w:rFonts w:hint="eastAsia" w:ascii="仿宋" w:hAnsi="仿宋" w:eastAsia="仿宋" w:cs="仿宋"/>
          <w:color w:val="auto"/>
          <w:sz w:val="22"/>
          <w:szCs w:val="22"/>
          <w:highlight w:val="none"/>
          <w:shd w:val="clear" w:color="auto" w:fill="auto"/>
        </w:rPr>
        <w:t>擅自变更、中止、终止、解除合同的，应按合同总金额30%支付违约金，同时</w:t>
      </w:r>
      <w:r>
        <w:rPr>
          <w:rFonts w:hint="eastAsia" w:ascii="仿宋" w:hAnsi="仿宋" w:eastAsia="仿宋" w:cs="仿宋"/>
          <w:color w:val="auto"/>
          <w:sz w:val="22"/>
          <w:szCs w:val="22"/>
          <w:highlight w:val="none"/>
          <w:shd w:val="clear" w:color="auto" w:fill="auto"/>
          <w:lang w:val="en-US" w:eastAsia="zh-Hans"/>
        </w:rPr>
        <w:t>采购人</w:t>
      </w:r>
      <w:r>
        <w:rPr>
          <w:rFonts w:hint="eastAsia" w:ascii="仿宋" w:hAnsi="仿宋" w:eastAsia="仿宋" w:cs="仿宋"/>
          <w:color w:val="auto"/>
          <w:sz w:val="22"/>
          <w:szCs w:val="22"/>
          <w:highlight w:val="none"/>
          <w:shd w:val="clear" w:color="auto" w:fill="auto"/>
        </w:rPr>
        <w:t>有权单方解除合同</w:t>
      </w:r>
      <w:r>
        <w:rPr>
          <w:rFonts w:hint="eastAsia" w:ascii="仿宋" w:hAnsi="仿宋" w:eastAsia="仿宋" w:cs="仿宋"/>
          <w:color w:val="000000"/>
          <w:kern w:val="0"/>
          <w:sz w:val="22"/>
          <w:szCs w:val="22"/>
          <w:highlight w:val="none"/>
          <w:u w:val="none"/>
          <w:lang w:val="en-US" w:eastAsia="zh-CN" w:bidi="ar"/>
        </w:rPr>
        <w:t>。</w:t>
      </w:r>
    </w:p>
    <w:p w14:paraId="2A8FA249">
      <w:pPr>
        <w:pStyle w:val="11"/>
        <w:keepNext w:val="0"/>
        <w:keepLines w:val="0"/>
        <w:pageBreakBefore w:val="0"/>
        <w:kinsoku/>
        <w:wordWrap/>
        <w:overflowPunct/>
        <w:topLinePunct w:val="0"/>
        <w:autoSpaceDE/>
        <w:autoSpaceDN/>
        <w:bidi w:val="0"/>
        <w:adjustRightInd/>
        <w:snapToGrid/>
        <w:spacing w:line="240" w:lineRule="auto"/>
        <w:ind w:firstLine="442" w:firstLineChars="200"/>
        <w:jc w:val="left"/>
        <w:outlineLvl w:val="9"/>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2.解决合同纠纷的方式</w:t>
      </w:r>
    </w:p>
    <w:p w14:paraId="2208037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（一）因货物的质量问题发生的争议，由法定质量鉴定机构或其认可的质量鉴定机构进行质量鉴定。货物符合标准的，鉴定费由采购人承担；货物不符合质量标准的，鉴定费由中标人承担。</w:t>
      </w:r>
    </w:p>
    <w:p w14:paraId="245A645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（二）合同履行期间，若双方发生争议，可协商或由有关部门调解解决，协商或调解不成的，可向采购人所在地人民法院依法提起诉讼。</w:t>
      </w:r>
    </w:p>
    <w:p w14:paraId="198D2911">
      <w:pPr>
        <w:pStyle w:val="11"/>
        <w:keepNext w:val="0"/>
        <w:keepLines w:val="0"/>
        <w:pageBreakBefore w:val="0"/>
        <w:kinsoku/>
        <w:wordWrap/>
        <w:overflowPunct/>
        <w:topLinePunct w:val="0"/>
        <w:autoSpaceDE/>
        <w:autoSpaceDN/>
        <w:bidi w:val="0"/>
        <w:adjustRightInd/>
        <w:snapToGrid/>
        <w:spacing w:line="240" w:lineRule="auto"/>
        <w:jc w:val="left"/>
        <w:outlineLvl w:val="2"/>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二、缔约过失责任</w:t>
      </w:r>
    </w:p>
    <w:p w14:paraId="5AD47D4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供应商无正当理由未能在规定时间内与采购人签订合同的，需向采购人支付中标（成交）金额20%的赔偿金。赔偿金不足以弥补采购人全部损失的，还应赔偿采购人全部损失；</w:t>
      </w:r>
    </w:p>
    <w:p w14:paraId="53502C4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val="en-US" w:eastAsia="zh-CN"/>
        </w:rPr>
        <w:t>若投标供应商提交的投标(响应)文件存在虚假材料或虚假响应的情况，投标供应商应向采购人支付项目预算金额30%的赔偿金。</w:t>
      </w:r>
    </w:p>
    <w:p w14:paraId="7318A67E">
      <w:pPr>
        <w:pStyle w:val="11"/>
        <w:keepNext w:val="0"/>
        <w:keepLines w:val="0"/>
        <w:pageBreakBefore w:val="0"/>
        <w:kinsoku/>
        <w:wordWrap/>
        <w:overflowPunct/>
        <w:topLinePunct w:val="0"/>
        <w:autoSpaceDE/>
        <w:autoSpaceDN/>
        <w:bidi w:val="0"/>
        <w:adjustRightInd/>
        <w:snapToGrid/>
        <w:spacing w:line="240" w:lineRule="auto"/>
        <w:jc w:val="left"/>
        <w:outlineLvl w:val="2"/>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三、其他要求</w:t>
      </w:r>
    </w:p>
    <w:p w14:paraId="5F35BE79">
      <w:pPr>
        <w:pStyle w:val="11"/>
        <w:numPr>
          <w:ilvl w:val="0"/>
          <w:numId w:val="0"/>
        </w:numPr>
        <w:spacing w:line="240" w:lineRule="auto"/>
        <w:ind w:firstLine="480" w:firstLineChars="0"/>
        <w:jc w:val="left"/>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1.本项目为据实结算。</w:t>
      </w:r>
    </w:p>
    <w:p w14:paraId="003F4415">
      <w:pPr>
        <w:pStyle w:val="11"/>
        <w:numPr>
          <w:ilvl w:val="0"/>
          <w:numId w:val="0"/>
        </w:numPr>
        <w:spacing w:line="240" w:lineRule="auto"/>
        <w:ind w:firstLine="480" w:firstLineChars="0"/>
        <w:jc w:val="left"/>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b/>
          <w:bCs/>
          <w:sz w:val="22"/>
          <w:szCs w:val="22"/>
          <w:highlight w:val="none"/>
          <w:lang w:val="en-US" w:eastAsia="zh-CN"/>
        </w:rPr>
        <w:t>2.</w:t>
      </w:r>
      <w:r>
        <w:rPr>
          <w:rFonts w:hint="eastAsia" w:ascii="仿宋" w:hAnsi="仿宋" w:eastAsia="仿宋" w:cs="仿宋"/>
          <w:b/>
          <w:bCs/>
          <w:color w:val="auto"/>
          <w:sz w:val="22"/>
          <w:szCs w:val="22"/>
          <w:highlight w:val="none"/>
          <w:shd w:val="clear" w:color="auto" w:fill="auto"/>
        </w:rPr>
        <w:t>履行期限</w:t>
      </w:r>
      <w:r>
        <w:rPr>
          <w:rFonts w:hint="eastAsia" w:ascii="仿宋" w:hAnsi="仿宋" w:eastAsia="仿宋" w:cs="仿宋"/>
          <w:b/>
          <w:bCs/>
          <w:color w:val="auto"/>
          <w:sz w:val="22"/>
          <w:szCs w:val="22"/>
          <w:highlight w:val="none"/>
          <w:shd w:val="clear" w:color="auto" w:fill="auto"/>
          <w:lang w:eastAsia="zh-CN"/>
        </w:rPr>
        <w:t>：</w:t>
      </w:r>
      <w:r>
        <w:rPr>
          <w:rFonts w:hint="eastAsia" w:ascii="仿宋" w:hAnsi="仿宋" w:eastAsia="仿宋" w:cs="仿宋"/>
          <w:b w:val="0"/>
          <w:bCs w:val="0"/>
          <w:color w:val="auto"/>
          <w:sz w:val="22"/>
          <w:szCs w:val="22"/>
          <w:highlight w:val="none"/>
          <w:shd w:val="clear" w:color="auto" w:fill="auto"/>
          <w:lang w:val="en-US" w:eastAsia="zh-CN"/>
        </w:rPr>
        <w:t>1年。</w:t>
      </w:r>
    </w:p>
    <w:p w14:paraId="19AA46D9">
      <w:pPr>
        <w:pStyle w:val="11"/>
        <w:spacing w:line="240" w:lineRule="auto"/>
        <w:ind w:firstLine="480"/>
        <w:jc w:val="left"/>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3.履约验收程序：</w:t>
      </w:r>
      <w:r>
        <w:rPr>
          <w:rFonts w:hint="eastAsia" w:ascii="仿宋" w:hAnsi="仿宋" w:eastAsia="仿宋" w:cs="仿宋"/>
          <w:color w:val="auto"/>
          <w:kern w:val="2"/>
          <w:sz w:val="22"/>
          <w:szCs w:val="22"/>
          <w:highlight w:val="none"/>
          <w:shd w:val="clear" w:color="auto" w:fill="auto"/>
          <w:lang w:val="en-US" w:eastAsia="zh-CN" w:bidi="ar-SA"/>
        </w:rPr>
        <w:t>分批次验收。</w:t>
      </w:r>
    </w:p>
    <w:p w14:paraId="07A3B3EB">
      <w:pPr>
        <w:pStyle w:val="11"/>
        <w:spacing w:line="240" w:lineRule="auto"/>
        <w:ind w:firstLine="480"/>
        <w:jc w:val="left"/>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4.履约验收时间：</w:t>
      </w:r>
      <w:r>
        <w:rPr>
          <w:rFonts w:hint="eastAsia" w:ascii="仿宋" w:hAnsi="仿宋" w:eastAsia="仿宋" w:cs="仿宋"/>
          <w:color w:val="auto"/>
          <w:kern w:val="2"/>
          <w:sz w:val="22"/>
          <w:szCs w:val="22"/>
          <w:highlight w:val="none"/>
          <w:shd w:val="clear" w:color="auto" w:fill="auto"/>
          <w:lang w:val="en-US" w:eastAsia="zh-CN" w:bidi="ar-SA"/>
        </w:rPr>
        <w:t>合同期限内，根据采购人要求分批次送货，完成送货、验收入库视为验收完成。</w:t>
      </w:r>
    </w:p>
    <w:p w14:paraId="6D1E17E9">
      <w:pPr>
        <w:pStyle w:val="11"/>
        <w:spacing w:line="240" w:lineRule="auto"/>
        <w:ind w:firstLine="480"/>
        <w:jc w:val="left"/>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5.技术履约验收内容：</w:t>
      </w:r>
      <w:r>
        <w:rPr>
          <w:rFonts w:hint="eastAsia" w:ascii="仿宋" w:hAnsi="仿宋" w:eastAsia="仿宋" w:cs="仿宋"/>
          <w:color w:val="auto"/>
          <w:kern w:val="2"/>
          <w:sz w:val="22"/>
          <w:szCs w:val="22"/>
          <w:highlight w:val="none"/>
          <w:shd w:val="clear" w:color="auto" w:fill="auto"/>
          <w:lang w:val="en-US" w:eastAsia="zh-CN" w:bidi="ar-SA"/>
        </w:rPr>
        <w:t>采购人按照本项目技术要求进行验收。</w:t>
      </w:r>
    </w:p>
    <w:p w14:paraId="76E94F32">
      <w:pPr>
        <w:pStyle w:val="11"/>
        <w:spacing w:line="240" w:lineRule="auto"/>
        <w:ind w:firstLine="480"/>
        <w:jc w:val="left"/>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6.商务履约验收内容：</w:t>
      </w:r>
      <w:r>
        <w:rPr>
          <w:rFonts w:hint="eastAsia" w:ascii="仿宋" w:hAnsi="仿宋" w:eastAsia="仿宋" w:cs="仿宋"/>
          <w:color w:val="auto"/>
          <w:kern w:val="2"/>
          <w:sz w:val="22"/>
          <w:szCs w:val="22"/>
          <w:highlight w:val="none"/>
          <w:shd w:val="clear" w:color="auto" w:fill="auto"/>
          <w:lang w:val="en-US" w:eastAsia="zh-CN" w:bidi="ar-SA"/>
        </w:rPr>
        <w:t>采购人按照本项目商务要求进行验收。</w:t>
      </w:r>
    </w:p>
    <w:p w14:paraId="50A20D0D">
      <w:pPr>
        <w:keepNext w:val="0"/>
        <w:keepLines w:val="0"/>
        <w:pageBreakBefore w:val="0"/>
        <w:widowControl w:val="0"/>
        <w:kinsoku/>
        <w:wordWrap/>
        <w:overflowPunct/>
        <w:topLinePunct w:val="0"/>
        <w:autoSpaceDE/>
        <w:autoSpaceDN/>
        <w:bidi w:val="0"/>
        <w:adjustRightInd/>
        <w:snapToGrid/>
        <w:spacing w:line="288" w:lineRule="auto"/>
        <w:ind w:firstLine="442" w:firstLineChars="200"/>
        <w:jc w:val="left"/>
        <w:textAlignment w:val="auto"/>
        <w:rPr>
          <w:rFonts w:hint="eastAsia" w:ascii="仿宋" w:hAnsi="仿宋" w:eastAsia="仿宋" w:cs="仿宋"/>
          <w:color w:val="auto"/>
          <w:kern w:val="2"/>
          <w:sz w:val="24"/>
          <w:szCs w:val="24"/>
          <w:highlight w:val="none"/>
          <w:u w:val="none"/>
          <w:shd w:val="clear" w:color="auto" w:fill="auto"/>
          <w:lang w:val="en-US" w:eastAsia="zh-CN" w:bidi="ar-SA"/>
        </w:rPr>
      </w:pPr>
      <w:r>
        <w:rPr>
          <w:rFonts w:hint="eastAsia" w:ascii="仿宋" w:hAnsi="仿宋" w:eastAsia="仿宋" w:cs="仿宋"/>
          <w:b/>
          <w:bCs/>
          <w:sz w:val="22"/>
          <w:szCs w:val="22"/>
          <w:highlight w:val="none"/>
          <w:lang w:val="en-US" w:eastAsia="zh-CN"/>
        </w:rPr>
        <w:t>7.履约收标准：</w:t>
      </w:r>
      <w:r>
        <w:rPr>
          <w:rFonts w:hint="eastAsia" w:ascii="仿宋" w:hAnsi="仿宋" w:eastAsia="仿宋" w:cs="仿宋"/>
          <w:color w:val="auto"/>
          <w:kern w:val="2"/>
          <w:sz w:val="22"/>
          <w:szCs w:val="22"/>
          <w:highlight w:val="none"/>
          <w:shd w:val="clear" w:color="auto" w:fill="auto"/>
          <w:lang w:val="en-US" w:eastAsia="zh-CN" w:bidi="ar-SA"/>
        </w:rPr>
        <w:t>采购人按照本项目合同要求进行验收</w:t>
      </w:r>
      <w:bookmarkStart w:id="1" w:name="_GoBack"/>
      <w:bookmarkEnd w:id="1"/>
      <w:r>
        <w:rPr>
          <w:rFonts w:hint="eastAsia" w:ascii="仿宋" w:hAnsi="仿宋" w:eastAsia="仿宋" w:cs="仿宋"/>
          <w:color w:val="auto"/>
          <w:kern w:val="2"/>
          <w:sz w:val="24"/>
          <w:szCs w:val="24"/>
          <w:highlight w:val="none"/>
          <w:u w:val="none"/>
          <w:shd w:val="clear" w:color="auto" w:fill="auto"/>
          <w:lang w:val="en-US" w:eastAsia="zh-CN" w:bidi="ar-SA"/>
        </w:rPr>
        <w:t>。</w:t>
      </w:r>
    </w:p>
    <w:p w14:paraId="45C403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0FBC2FF0"/>
    <w:rsid w:val="108B406B"/>
    <w:rsid w:val="13BC3A82"/>
    <w:rsid w:val="18864C72"/>
    <w:rsid w:val="1ACE595C"/>
    <w:rsid w:val="1B91392F"/>
    <w:rsid w:val="1C662C9C"/>
    <w:rsid w:val="20611393"/>
    <w:rsid w:val="292D60BE"/>
    <w:rsid w:val="2B995F96"/>
    <w:rsid w:val="34384C9D"/>
    <w:rsid w:val="388A64C7"/>
    <w:rsid w:val="40381AEC"/>
    <w:rsid w:val="42845131"/>
    <w:rsid w:val="47744FDF"/>
    <w:rsid w:val="4A2C259B"/>
    <w:rsid w:val="4A2D1A25"/>
    <w:rsid w:val="4E252B77"/>
    <w:rsid w:val="50931F26"/>
    <w:rsid w:val="5B49748C"/>
    <w:rsid w:val="5C341784"/>
    <w:rsid w:val="5F691A0D"/>
    <w:rsid w:val="67B475D0"/>
    <w:rsid w:val="67BA4749"/>
    <w:rsid w:val="6D846287"/>
    <w:rsid w:val="73AD7A2C"/>
    <w:rsid w:val="7B9B4791"/>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4">
    <w:name w:val="Body Text Indent"/>
    <w:basedOn w:val="1"/>
    <w:next w:val="5"/>
    <w:qFormat/>
    <w:uiPriority w:val="0"/>
    <w:pPr>
      <w:spacing w:after="120"/>
      <w:ind w:left="420" w:leftChars="200"/>
    </w:pPr>
  </w:style>
  <w:style w:type="paragraph" w:styleId="5">
    <w:name w:val="index 7"/>
    <w:basedOn w:val="1"/>
    <w:next w:val="1"/>
    <w:qFormat/>
    <w:uiPriority w:val="0"/>
    <w:pPr>
      <w:ind w:left="2520"/>
    </w:pPr>
  </w:style>
  <w:style w:type="paragraph" w:styleId="6">
    <w:name w:val="index 1"/>
    <w:basedOn w:val="1"/>
    <w:next w:val="1"/>
    <w:qFormat/>
    <w:uiPriority w:val="0"/>
    <w:pPr>
      <w:widowControl w:val="0"/>
      <w:autoSpaceDE/>
      <w:autoSpaceDN/>
      <w:spacing w:before="0" w:after="0" w:line="240" w:lineRule="auto"/>
      <w:ind w:left="0" w:firstLine="5632"/>
      <w:jc w:val="both"/>
    </w:pPr>
  </w:style>
  <w:style w:type="paragraph" w:styleId="7">
    <w:name w:val="Body Text First Indent 2"/>
    <w:basedOn w:val="4"/>
    <w:next w:val="1"/>
    <w:qFormat/>
    <w:uiPriority w:val="0"/>
    <w:pPr>
      <w:ind w:firstLine="42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paragraph" w:customStyle="1" w:styleId="12">
    <w:name w:val="Table Paragraph"/>
    <w:basedOn w:val="1"/>
    <w:qFormat/>
    <w:uiPriority w:val="99"/>
    <w:rPr>
      <w:rFonts w:ascii="宋体" w:hAnsi="宋体" w:cs="宋体"/>
    </w:rPr>
  </w:style>
  <w:style w:type="character" w:customStyle="1" w:styleId="13">
    <w:name w:val="font11"/>
    <w:basedOn w:val="10"/>
    <w:qFormat/>
    <w:uiPriority w:val="0"/>
    <w:rPr>
      <w:rFonts w:hint="eastAsia" w:ascii="仿宋" w:hAnsi="仿宋" w:eastAsia="仿宋" w:cs="仿宋"/>
      <w:color w:val="000000"/>
      <w:sz w:val="30"/>
      <w:szCs w:val="30"/>
      <w:u w:val="none"/>
    </w:rPr>
  </w:style>
  <w:style w:type="paragraph" w:customStyle="1" w:styleId="14">
    <w:name w:val="BodyText"/>
    <w:basedOn w:val="1"/>
    <w:qFormat/>
    <w:uiPriority w:val="0"/>
    <w:pPr>
      <w:widowControl/>
      <w:spacing w:after="12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630</Words>
  <Characters>685</Characters>
  <Lines>0</Lines>
  <Paragraphs>0</Paragraphs>
  <TotalTime>0</TotalTime>
  <ScaleCrop>false</ScaleCrop>
  <LinksUpToDate>false</LinksUpToDate>
  <CharactersWithSpaces>686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2026-05-19T02:30:34Z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