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2FC1EA">
      <w:pPr>
        <w:pStyle w:val="2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内江市第一人民医院</w:t>
      </w:r>
    </w:p>
    <w:p w14:paraId="26B19FD9">
      <w:pPr>
        <w:pStyle w:val="2"/>
        <w:jc w:val="center"/>
        <w:rPr>
          <w:rFonts w:hint="eastAsia" w:ascii="宋体" w:hAnsi="宋体" w:eastAsia="宋体" w:cs="宋体"/>
          <w:sz w:val="44"/>
          <w:szCs w:val="44"/>
        </w:rPr>
      </w:pPr>
      <w:r>
        <w:rPr>
          <w:rFonts w:hint="eastAsia" w:ascii="宋体" w:hAnsi="宋体" w:eastAsia="宋体" w:cs="宋体"/>
          <w:sz w:val="44"/>
          <w:szCs w:val="44"/>
        </w:rPr>
        <w:t>分子实验室</w:t>
      </w:r>
      <w:r>
        <w:rPr>
          <w:rFonts w:hint="eastAsia" w:ascii="宋体" w:hAnsi="宋体" w:eastAsia="宋体" w:cs="宋体"/>
          <w:sz w:val="44"/>
          <w:szCs w:val="44"/>
          <w:lang w:eastAsia="zh-CN"/>
        </w:rPr>
        <w:t>设备租赁</w:t>
      </w:r>
      <w:r>
        <w:rPr>
          <w:rFonts w:hint="eastAsia" w:ascii="宋体" w:hAnsi="宋体" w:eastAsia="宋体" w:cs="宋体"/>
          <w:sz w:val="44"/>
          <w:szCs w:val="44"/>
        </w:rPr>
        <w:t>一批调研公告</w:t>
      </w:r>
    </w:p>
    <w:p w14:paraId="559E65E1">
      <w:pPr>
        <w:widowControl/>
        <w:jc w:val="left"/>
        <w:rPr>
          <w:rFonts w:ascii="宋体" w:hAnsi="宋体" w:eastAsia="宋体" w:cs="宋体"/>
          <w:color w:val="000000"/>
          <w:sz w:val="24"/>
        </w:rPr>
      </w:pPr>
    </w:p>
    <w:p w14:paraId="307BE56F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内江市第一人民医院人民医院因业务发展需要，本着了解市场上潜在的优质价廉试剂，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前期已完成对部分补充分子检测项目试剂相关信息的调研，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现拟对该批试剂对应的新增设备租凭价格进行调研，诚邀具有合法合格资质制造商、供应商参与。</w:t>
      </w:r>
    </w:p>
    <w:p w14:paraId="039CB4F1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一、项目需求</w:t>
      </w:r>
    </w:p>
    <w:p w14:paraId="48EA6F43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检验科补充分子项目对应的新增设备租凭。</w:t>
      </w:r>
    </w:p>
    <w:p w14:paraId="5FEE8DF0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二、调研内容</w:t>
      </w:r>
    </w:p>
    <w:p w14:paraId="01F637CC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产品名称、规格型号、参数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、租赁价格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等。</w:t>
      </w:r>
    </w:p>
    <w:p w14:paraId="432F2EB4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三、递交资料</w:t>
      </w:r>
    </w:p>
    <w:p w14:paraId="1AFA0DF9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（1）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所提供检测设备对应的相关</w:t>
      </w:r>
      <w:bookmarkStart w:id="2" w:name="_GoBack"/>
      <w:bookmarkEnd w:id="2"/>
      <w:r>
        <w:rPr>
          <w:rFonts w:hint="eastAsia" w:ascii="仿宋" w:hAnsi="仿宋" w:eastAsia="仿宋" w:cs="仿宋"/>
          <w:color w:val="000000"/>
          <w:sz w:val="32"/>
          <w:szCs w:val="32"/>
        </w:rPr>
        <w:t>证件。</w:t>
      </w:r>
    </w:p>
    <w:p w14:paraId="222DF67D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（2）须在中华人民共和国境内合法注册、有法人资格和经营许可证。</w:t>
      </w:r>
    </w:p>
    <w:p w14:paraId="49C78BC3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（3）具有良好的商业信誉和健全的财务会计制度。</w:t>
      </w:r>
    </w:p>
    <w:p w14:paraId="0FAC6023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（4）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设备租赁价格及方案，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其他相关资料；</w:t>
      </w:r>
    </w:p>
    <w:p w14:paraId="4DB9A314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以上资料均需盖公司公章，并承诺所提交资料真实有效。</w:t>
      </w:r>
    </w:p>
    <w:p w14:paraId="2803333D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四、递交方式：邮件</w:t>
      </w:r>
    </w:p>
    <w:p w14:paraId="1F7FE161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以上资料请以PDF文件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加盖章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，按规定时间发送到指定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链接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。</w:t>
      </w:r>
    </w:p>
    <w:p w14:paraId="55197DC6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五、递交截至时间</w:t>
      </w:r>
    </w:p>
    <w:p w14:paraId="503913A2">
      <w:pPr>
        <w:widowControl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    2026年5月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28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日上午12：00之前</w:t>
      </w:r>
    </w:p>
    <w:p w14:paraId="14EDBA38">
      <w:pPr>
        <w:widowControl/>
        <w:jc w:val="left"/>
        <w:rPr>
          <w:rFonts w:hint="eastAsia" w:ascii="仿宋" w:hAnsi="仿宋" w:eastAsia="仿宋" w:cs="仿宋"/>
          <w:color w:val="FF0000"/>
          <w:sz w:val="32"/>
          <w:szCs w:val="32"/>
          <w:lang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六、联系人：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eastAsia="zh-CN"/>
        </w:rPr>
        <w:t>皮浩锟</w:t>
      </w:r>
    </w:p>
    <w:p w14:paraId="0D66D0F9">
      <w:pPr>
        <w:widowControl/>
        <w:ind w:firstLine="640"/>
        <w:jc w:val="left"/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电话：</w:t>
      </w:r>
      <w:r>
        <w:rPr>
          <w:rFonts w:hint="eastAsia" w:ascii="仿宋" w:hAnsi="仿宋" w:eastAsia="仿宋" w:cs="仿宋"/>
          <w:color w:val="FF0000"/>
          <w:kern w:val="0"/>
          <w:sz w:val="32"/>
          <w:szCs w:val="32"/>
          <w:lang w:val="en-US" w:eastAsia="zh-CN"/>
        </w:rPr>
        <w:t>13438662511</w:t>
      </w:r>
    </w:p>
    <w:p w14:paraId="0D7B5D13">
      <w:pPr>
        <w:widowControl/>
        <w:numPr>
          <w:ilvl w:val="0"/>
          <w:numId w:val="1"/>
        </w:numPr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val="en-US" w:eastAsia="zh-CN"/>
        </w:rPr>
        <w:t>资料提交地址：</w:t>
      </w:r>
      <w:r>
        <w:rPr>
          <w:rFonts w:hint="eastAsia" w:ascii="仿宋" w:hAnsi="仿宋" w:eastAsia="仿宋" w:cs="仿宋"/>
          <w:sz w:val="32"/>
          <w:szCs w:val="32"/>
        </w:rPr>
        <w:t>https://yunbiz.wps.cn/c/collect/cbja39UBRS4</w:t>
      </w:r>
    </w:p>
    <w:p w14:paraId="00AED142">
      <w:pPr>
        <w:widowControl/>
        <w:numPr>
          <w:ilvl w:val="0"/>
          <w:numId w:val="0"/>
        </w:numPr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  <w:lang w:eastAsia="zh-CN"/>
        </w:rPr>
        <w:t>八</w:t>
      </w: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、特别说明</w:t>
      </w:r>
    </w:p>
    <w:p w14:paraId="0420426B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（1）本次调研活动主要对市场同类产品进行产品信息收集，其调研结果仅为采购方参考使用，不对正式采购时起到任何优先、限制和约束作用。故本项目不发布结论性公告，调研结果仅作为院内参考使用。</w:t>
      </w:r>
    </w:p>
    <w:p w14:paraId="3E3B41F7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（2）附件为该调研试剂需求参考，各供应商可提供价格、性能更优的产品。</w:t>
      </w:r>
    </w:p>
    <w:p w14:paraId="7E759E7C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注：项目调研仅作为该项目开展采购活动前期市场综合分析的支撑依据，与后期组织实施采购活动无直接关系。</w:t>
      </w:r>
    </w:p>
    <w:p w14:paraId="62120820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78E8E016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59ACCA12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17B0E007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1479DD3F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40BB3662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48857B8F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1A9E4B2D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</w:p>
    <w:p w14:paraId="00A053E0">
      <w:pPr>
        <w:widowControl/>
        <w:ind w:firstLine="640"/>
        <w:jc w:val="left"/>
        <w:rPr>
          <w:rFonts w:hint="eastAsia" w:ascii="仿宋" w:hAnsi="仿宋" w:eastAsia="仿宋" w:cs="仿宋"/>
          <w:color w:val="000000"/>
          <w:kern w:val="0"/>
          <w:sz w:val="32"/>
          <w:szCs w:val="32"/>
        </w:rPr>
      </w:pPr>
      <w:r>
        <w:rPr>
          <w:rFonts w:hint="eastAsia" w:ascii="仿宋" w:hAnsi="仿宋" w:eastAsia="仿宋" w:cs="仿宋"/>
          <w:color w:val="000000"/>
          <w:kern w:val="0"/>
          <w:sz w:val="32"/>
          <w:szCs w:val="32"/>
        </w:rPr>
        <w:t>附件：</w:t>
      </w:r>
    </w:p>
    <w:p w14:paraId="3865C13B">
      <w:pPr>
        <w:rPr>
          <w:rFonts w:hint="eastAsia" w:ascii="仿宋" w:hAnsi="仿宋" w:eastAsia="仿宋" w:cs="仿宋"/>
          <w:sz w:val="32"/>
          <w:szCs w:val="32"/>
        </w:rPr>
      </w:pPr>
    </w:p>
    <w:tbl>
      <w:tblPr>
        <w:tblStyle w:val="4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66"/>
        <w:gridCol w:w="2140"/>
        <w:gridCol w:w="5216"/>
      </w:tblGrid>
      <w:tr w14:paraId="18B79EF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</w:tcPr>
          <w:p w14:paraId="58743304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序号</w:t>
            </w:r>
          </w:p>
        </w:tc>
        <w:tc>
          <w:tcPr>
            <w:tcW w:w="2140" w:type="dxa"/>
          </w:tcPr>
          <w:p w14:paraId="55C728AC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设备名称</w:t>
            </w:r>
          </w:p>
        </w:tc>
        <w:tc>
          <w:tcPr>
            <w:tcW w:w="5216" w:type="dxa"/>
          </w:tcPr>
          <w:p w14:paraId="032AB0A0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基本要求</w:t>
            </w:r>
          </w:p>
        </w:tc>
      </w:tr>
      <w:tr w14:paraId="1ECD956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62" w:hRule="atLeast"/>
        </w:trPr>
        <w:tc>
          <w:tcPr>
            <w:tcW w:w="1166" w:type="dxa"/>
          </w:tcPr>
          <w:p w14:paraId="2B6BFCDD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1</w:t>
            </w:r>
          </w:p>
        </w:tc>
        <w:tc>
          <w:tcPr>
            <w:tcW w:w="2140" w:type="dxa"/>
          </w:tcPr>
          <w:p w14:paraId="22A604E8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082943F7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697F28AB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数字PCR检测系统</w:t>
            </w:r>
            <w:bookmarkStart w:id="0" w:name="OLE_LINK1"/>
            <w:bookmarkStart w:id="1" w:name="OLE_LINK2"/>
            <w:r>
              <w:rPr>
                <w:rFonts w:hint="eastAsia" w:ascii="仿宋" w:hAnsi="仿宋" w:eastAsia="仿宋" w:cs="仿宋"/>
                <w:sz w:val="32"/>
                <w:szCs w:val="32"/>
              </w:rPr>
              <w:t>(一套)</w:t>
            </w:r>
            <w:bookmarkEnd w:id="0"/>
            <w:bookmarkEnd w:id="1"/>
          </w:p>
        </w:tc>
        <w:tc>
          <w:tcPr>
            <w:tcW w:w="5216" w:type="dxa"/>
          </w:tcPr>
          <w:p w14:paraId="4EB12C30">
            <w:pPr>
              <w:numPr>
                <w:ilvl w:val="0"/>
                <w:numId w:val="2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配置全自动前处理系统，帮助自动完成核酸提取和反应体系构建等。</w:t>
            </w:r>
          </w:p>
          <w:p w14:paraId="79B00A97">
            <w:pPr>
              <w:numPr>
                <w:ilvl w:val="0"/>
                <w:numId w:val="2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数字PCR仪可用于开展血流感染检测。</w:t>
            </w:r>
          </w:p>
          <w:p w14:paraId="5B001688">
            <w:pPr>
              <w:numPr>
                <w:ilvl w:val="0"/>
                <w:numId w:val="2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数字PCR仪检测通道需≥6通道，浓度动态范围≥5个数量级。</w:t>
            </w:r>
          </w:p>
        </w:tc>
      </w:tr>
      <w:tr w14:paraId="4219BB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</w:tcPr>
          <w:p w14:paraId="2F1EBBDA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2</w:t>
            </w:r>
          </w:p>
        </w:tc>
        <w:tc>
          <w:tcPr>
            <w:tcW w:w="2140" w:type="dxa"/>
          </w:tcPr>
          <w:p w14:paraId="70C6C084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37E4B0D9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1594CD39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呼吸道快速检测仪(一台)</w:t>
            </w:r>
          </w:p>
        </w:tc>
        <w:tc>
          <w:tcPr>
            <w:tcW w:w="5216" w:type="dxa"/>
          </w:tcPr>
          <w:p w14:paraId="5A4F92C9">
            <w:pPr>
              <w:numPr>
                <w:ilvl w:val="0"/>
                <w:numId w:val="3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全流程检测时间：≤30分钟，满足门急诊快速出报告需求。</w:t>
            </w:r>
          </w:p>
          <w:p w14:paraId="3AF84872">
            <w:pPr>
              <w:numPr>
                <w:ilvl w:val="0"/>
                <w:numId w:val="3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设备集样本信息录入、进样、核酸磁珠提取、扩增余一体。</w:t>
            </w:r>
          </w:p>
        </w:tc>
      </w:tr>
      <w:tr w14:paraId="15F959A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</w:tcPr>
          <w:p w14:paraId="71C2B69C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3</w:t>
            </w:r>
          </w:p>
        </w:tc>
        <w:tc>
          <w:tcPr>
            <w:tcW w:w="2140" w:type="dxa"/>
          </w:tcPr>
          <w:p w14:paraId="4BA70310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</w:p>
          <w:p w14:paraId="7BC8CE76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核酸提取仪(一台)</w:t>
            </w:r>
          </w:p>
        </w:tc>
        <w:tc>
          <w:tcPr>
            <w:tcW w:w="5216" w:type="dxa"/>
          </w:tcPr>
          <w:p w14:paraId="2B4BEE40">
            <w:pPr>
              <w:numPr>
                <w:ilvl w:val="0"/>
                <w:numId w:val="4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用于结核耐药基因样本的核酸提取。</w:t>
            </w:r>
          </w:p>
          <w:p w14:paraId="39021CC1">
            <w:pPr>
              <w:numPr>
                <w:ilvl w:val="0"/>
                <w:numId w:val="4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可实现单人份条式提取。</w:t>
            </w:r>
          </w:p>
          <w:p w14:paraId="50DF0CD2">
            <w:pPr>
              <w:numPr>
                <w:ilvl w:val="0"/>
                <w:numId w:val="4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提取孔间差异≤5%。</w:t>
            </w:r>
          </w:p>
        </w:tc>
      </w:tr>
      <w:tr w14:paraId="3E5930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66" w:type="dxa"/>
          </w:tcPr>
          <w:p w14:paraId="27A49B2C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4</w:t>
            </w:r>
          </w:p>
        </w:tc>
        <w:tc>
          <w:tcPr>
            <w:tcW w:w="2140" w:type="dxa"/>
          </w:tcPr>
          <w:p w14:paraId="1F30FB95">
            <w:p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全自动核酸提取及扩增仪(一套)</w:t>
            </w:r>
          </w:p>
        </w:tc>
        <w:tc>
          <w:tcPr>
            <w:tcW w:w="5216" w:type="dxa"/>
          </w:tcPr>
          <w:p w14:paraId="461FF79A">
            <w:pPr>
              <w:numPr>
                <w:ilvl w:val="0"/>
                <w:numId w:val="5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集核酸提取及扩增为一体。</w:t>
            </w:r>
          </w:p>
          <w:p w14:paraId="4CE96174">
            <w:pPr>
              <w:numPr>
                <w:ilvl w:val="0"/>
                <w:numId w:val="5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可用于高精HIV的检测。</w:t>
            </w:r>
          </w:p>
          <w:p w14:paraId="7360947F">
            <w:pPr>
              <w:numPr>
                <w:ilvl w:val="0"/>
                <w:numId w:val="5"/>
              </w:numPr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</w:rPr>
              <w:t>样本检测重复性CT≤3%。</w:t>
            </w:r>
          </w:p>
        </w:tc>
      </w:tr>
    </w:tbl>
    <w:p w14:paraId="25025D89">
      <w:pPr>
        <w:rPr>
          <w:rFonts w:hint="eastAsia" w:ascii="仿宋" w:hAnsi="仿宋" w:eastAsia="仿宋" w:cs="仿宋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9192A140"/>
    <w:multiLevelType w:val="singleLevel"/>
    <w:tmpl w:val="9192A140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1">
    <w:nsid w:val="A410686D"/>
    <w:multiLevelType w:val="singleLevel"/>
    <w:tmpl w:val="A410686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2">
    <w:nsid w:val="DEBB0AEA"/>
    <w:multiLevelType w:val="singleLevel"/>
    <w:tmpl w:val="DEBB0AEA"/>
    <w:lvl w:ilvl="0" w:tentative="0">
      <w:start w:val="7"/>
      <w:numFmt w:val="chineseCounting"/>
      <w:suff w:val="nothing"/>
      <w:lvlText w:val="%1、"/>
      <w:lvlJc w:val="left"/>
      <w:rPr>
        <w:rFonts w:hint="eastAsia"/>
      </w:rPr>
    </w:lvl>
  </w:abstractNum>
  <w:abstractNum w:abstractNumId="3">
    <w:nsid w:val="0041410B"/>
    <w:multiLevelType w:val="singleLevel"/>
    <w:tmpl w:val="0041410B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4">
    <w:nsid w:val="25594AFD"/>
    <w:multiLevelType w:val="singleLevel"/>
    <w:tmpl w:val="25594A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E7D07FE"/>
    <w:rsid w:val="00405BAB"/>
    <w:rsid w:val="004D3A8C"/>
    <w:rsid w:val="007B1E2A"/>
    <w:rsid w:val="00904ADD"/>
    <w:rsid w:val="00DD2000"/>
    <w:rsid w:val="2E004075"/>
    <w:rsid w:val="6BED16E8"/>
    <w:rsid w:val="6E7D07FE"/>
    <w:rsid w:val="7684325A"/>
    <w:rsid w:val="7EDB32F9"/>
    <w:rsid w:val="7F98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unhideWhenUsed/>
    <w:qFormat/>
    <w:uiPriority w:val="0"/>
    <w:pPr>
      <w:keepNext/>
      <w:keepLines/>
      <w:spacing w:line="413" w:lineRule="auto"/>
      <w:outlineLvl w:val="1"/>
    </w:pPr>
    <w:rPr>
      <w:rFonts w:ascii="Arial" w:hAnsi="Arial" w:eastAsia="黑体"/>
      <w:b/>
      <w:sz w:val="32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4">
    <w:name w:val="Table Grid"/>
    <w:basedOn w:val="3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6">
    <w:name w:val="Hyperlink"/>
    <w:basedOn w:val="5"/>
    <w:qFormat/>
    <w:uiPriority w:val="0"/>
    <w:rPr>
      <w:color w:val="0000FF"/>
      <w:u w:val="single"/>
    </w:rPr>
  </w:style>
  <w:style w:type="character" w:customStyle="1" w:styleId="7">
    <w:name w:val="font21"/>
    <w:basedOn w:val="5"/>
    <w:qFormat/>
    <w:uiPriority w:val="0"/>
    <w:rPr>
      <w:rFonts w:hint="eastAsia" w:ascii="宋体" w:hAnsi="宋体" w:eastAsia="宋体" w:cs="宋体"/>
      <w:color w:val="363636"/>
      <w:sz w:val="16"/>
      <w:szCs w:val="16"/>
      <w:u w:val="none"/>
    </w:rPr>
  </w:style>
  <w:style w:type="character" w:customStyle="1" w:styleId="8">
    <w:name w:val="font31"/>
    <w:basedOn w:val="5"/>
    <w:qFormat/>
    <w:uiPriority w:val="0"/>
    <w:rPr>
      <w:rFonts w:ascii="Arial" w:hAnsi="Arial" w:cs="Arial"/>
      <w:color w:val="363636"/>
      <w:sz w:val="16"/>
      <w:szCs w:val="16"/>
      <w:u w:val="non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3</Pages>
  <Words>804</Words>
  <Characters>876</Characters>
  <Lines>6</Lines>
  <Paragraphs>1</Paragraphs>
  <TotalTime>0</TotalTime>
  <ScaleCrop>false</ScaleCrop>
  <LinksUpToDate>false</LinksUpToDate>
  <CharactersWithSpaces>880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2026-03-03T08:32:00Z</dcterms:created>
  <dc:creator>呵</dc:creator>
  <cp:lastModifiedBy>枯叶狂</cp:lastModifiedBy>
  <dcterms:modified xsi:type="dcterms:W3CDTF">2026-05-21T01:33:18Z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0EAD7F8DE2CF48C19E52B24448C597D4_13</vt:lpwstr>
  </property>
  <property fmtid="{D5CDD505-2E9C-101B-9397-08002B2CF9AE}" pid="4" name="KSOTemplateDocerSaveRecord">
    <vt:lpwstr>eyJoZGlkIjoiMGJlYTljZGUzMTQ2MzYzYzViNTIwNDYxMTE0YzdhOWQiLCJ1c2VySWQiOiIzNjU4NTE1OTUifQ==</vt:lpwstr>
  </property>
</Properties>
</file>