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75E5B">
      <w:pPr>
        <w:jc w:val="center"/>
        <w:outlineLvl w:val="0"/>
        <w:rPr>
          <w:rFonts w:hint="eastAsia" w:ascii="仿宋" w:hAnsi="仿宋" w:eastAsia="仿宋" w:cs="仿宋"/>
          <w:b/>
          <w:sz w:val="36"/>
          <w:highlight w:val="none"/>
          <w:lang w:val="en-US" w:eastAsia="zh-Hans"/>
        </w:rPr>
      </w:pPr>
      <w:bookmarkStart w:id="0" w:name="_Toc27801"/>
      <w:r>
        <w:rPr>
          <w:rFonts w:hint="eastAsia" w:ascii="仿宋" w:hAnsi="仿宋" w:eastAsia="仿宋" w:cs="仿宋"/>
          <w:b/>
          <w:sz w:val="36"/>
          <w:highlight w:val="none"/>
          <w:lang w:val="en-US" w:eastAsia="zh-Hans"/>
        </w:rPr>
        <w:t>第三章 技术、服务及其他要求</w:t>
      </w:r>
      <w:bookmarkEnd w:id="0"/>
    </w:p>
    <w:p w14:paraId="51E24615">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一、项目概况</w:t>
      </w:r>
    </w:p>
    <w:p w14:paraId="4E1A9623">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 xml:space="preserve">为落实《医疗废物管理条例》第十六条要求，满足医院处理锐器类医疗废物需求，现采购一次性纸质利器盒一批。 </w:t>
      </w:r>
    </w:p>
    <w:p w14:paraId="78892945">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二、标的情况：</w:t>
      </w:r>
    </w:p>
    <w:tbl>
      <w:tblPr>
        <w:tblStyle w:val="6"/>
        <w:tblW w:w="85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6"/>
        <w:gridCol w:w="765"/>
        <w:gridCol w:w="1500"/>
        <w:gridCol w:w="1663"/>
        <w:gridCol w:w="1183"/>
        <w:gridCol w:w="1017"/>
        <w:gridCol w:w="1692"/>
      </w:tblGrid>
      <w:tr w14:paraId="33C4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9" w:hRule="atLeast"/>
          <w:tblHeader/>
          <w:jc w:val="center"/>
        </w:trPr>
        <w:tc>
          <w:tcPr>
            <w:tcW w:w="76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6106ABB">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包号</w:t>
            </w:r>
          </w:p>
        </w:tc>
        <w:tc>
          <w:tcPr>
            <w:tcW w:w="76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D57985">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编号</w:t>
            </w:r>
          </w:p>
        </w:tc>
        <w:tc>
          <w:tcPr>
            <w:tcW w:w="150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AC204FB">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标的名称</w:t>
            </w:r>
          </w:p>
        </w:tc>
        <w:tc>
          <w:tcPr>
            <w:tcW w:w="166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549C56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单价最高限价（元）</w:t>
            </w:r>
          </w:p>
        </w:tc>
        <w:tc>
          <w:tcPr>
            <w:tcW w:w="118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184A42C">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数量</w:t>
            </w:r>
          </w:p>
        </w:tc>
        <w:tc>
          <w:tcPr>
            <w:tcW w:w="101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9C03A5D">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计量单位</w:t>
            </w:r>
          </w:p>
        </w:tc>
        <w:tc>
          <w:tcPr>
            <w:tcW w:w="169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735CBCC">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标的金额/最高限价（元）</w:t>
            </w:r>
          </w:p>
        </w:tc>
      </w:tr>
      <w:tr w14:paraId="7003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4" w:hRule="atLeast"/>
          <w:tblHeader/>
          <w:jc w:val="center"/>
        </w:trPr>
        <w:tc>
          <w:tcPr>
            <w:tcW w:w="76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D0BFC6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w:t>
            </w:r>
          </w:p>
        </w:tc>
        <w:tc>
          <w:tcPr>
            <w:tcW w:w="765"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9209EBD">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1-1</w:t>
            </w:r>
          </w:p>
        </w:tc>
        <w:tc>
          <w:tcPr>
            <w:tcW w:w="150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D0E6353">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一次性纸质利器盒1</w:t>
            </w:r>
          </w:p>
        </w:tc>
        <w:tc>
          <w:tcPr>
            <w:tcW w:w="166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209A37A">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6.00</w:t>
            </w:r>
          </w:p>
        </w:tc>
        <w:tc>
          <w:tcPr>
            <w:tcW w:w="118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223ABF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15000</w:t>
            </w:r>
          </w:p>
        </w:tc>
        <w:tc>
          <w:tcPr>
            <w:tcW w:w="101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5314AC2">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69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01AE8CF">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90000.00</w:t>
            </w:r>
          </w:p>
        </w:tc>
      </w:tr>
      <w:tr w14:paraId="12883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0" w:hRule="atLeast"/>
          <w:tblHeader/>
          <w:jc w:val="center"/>
        </w:trPr>
        <w:tc>
          <w:tcPr>
            <w:tcW w:w="76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E6CCC1C">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w:t>
            </w:r>
          </w:p>
        </w:tc>
        <w:tc>
          <w:tcPr>
            <w:tcW w:w="765"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E14A781">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1-2</w:t>
            </w:r>
          </w:p>
        </w:tc>
        <w:tc>
          <w:tcPr>
            <w:tcW w:w="150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AC363CD">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一次性纸质利器盒2</w:t>
            </w:r>
          </w:p>
        </w:tc>
        <w:tc>
          <w:tcPr>
            <w:tcW w:w="166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54D1226">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8.00</w:t>
            </w:r>
          </w:p>
        </w:tc>
        <w:tc>
          <w:tcPr>
            <w:tcW w:w="118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A6BA463">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6050</w:t>
            </w:r>
          </w:p>
        </w:tc>
        <w:tc>
          <w:tcPr>
            <w:tcW w:w="101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A427B69">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69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E300B3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48400.00</w:t>
            </w:r>
          </w:p>
        </w:tc>
      </w:tr>
      <w:tr w14:paraId="3650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0" w:hRule="atLeast"/>
          <w:tblHeader/>
          <w:jc w:val="center"/>
        </w:trPr>
        <w:tc>
          <w:tcPr>
            <w:tcW w:w="76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92745E5">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w:t>
            </w:r>
          </w:p>
        </w:tc>
        <w:tc>
          <w:tcPr>
            <w:tcW w:w="765"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1F41839">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1-3</w:t>
            </w:r>
          </w:p>
        </w:tc>
        <w:tc>
          <w:tcPr>
            <w:tcW w:w="150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20B85A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一次性纸质利器盒3</w:t>
            </w:r>
          </w:p>
        </w:tc>
        <w:tc>
          <w:tcPr>
            <w:tcW w:w="166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1369CBB">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14.00</w:t>
            </w:r>
          </w:p>
        </w:tc>
        <w:tc>
          <w:tcPr>
            <w:tcW w:w="118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48091AE">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4400</w:t>
            </w:r>
          </w:p>
        </w:tc>
        <w:tc>
          <w:tcPr>
            <w:tcW w:w="101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482833A">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69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B3CF914">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61600.00</w:t>
            </w:r>
          </w:p>
        </w:tc>
      </w:tr>
    </w:tbl>
    <w:p w14:paraId="0FE4DDE6">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三、技术要求</w:t>
      </w:r>
    </w:p>
    <w:p w14:paraId="35B859BF">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（一）需求清单：</w:t>
      </w:r>
    </w:p>
    <w:tbl>
      <w:tblPr>
        <w:tblStyle w:val="7"/>
        <w:tblW w:w="8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300"/>
        <w:gridCol w:w="850"/>
        <w:gridCol w:w="938"/>
        <w:gridCol w:w="787"/>
        <w:gridCol w:w="1730"/>
        <w:gridCol w:w="1278"/>
      </w:tblGrid>
      <w:tr w14:paraId="1C37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vAlign w:val="center"/>
          </w:tcPr>
          <w:p w14:paraId="130EAFFE">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序号</w:t>
            </w:r>
          </w:p>
        </w:tc>
        <w:tc>
          <w:tcPr>
            <w:tcW w:w="2300" w:type="dxa"/>
            <w:vAlign w:val="center"/>
          </w:tcPr>
          <w:p w14:paraId="6E78E014">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货物名称</w:t>
            </w:r>
          </w:p>
        </w:tc>
        <w:tc>
          <w:tcPr>
            <w:tcW w:w="850" w:type="dxa"/>
            <w:vAlign w:val="center"/>
          </w:tcPr>
          <w:p w14:paraId="38783C7D">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规格</w:t>
            </w:r>
          </w:p>
        </w:tc>
        <w:tc>
          <w:tcPr>
            <w:tcW w:w="938" w:type="dxa"/>
            <w:vAlign w:val="center"/>
          </w:tcPr>
          <w:p w14:paraId="53BDF8CB">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数量</w:t>
            </w:r>
          </w:p>
        </w:tc>
        <w:tc>
          <w:tcPr>
            <w:tcW w:w="787" w:type="dxa"/>
            <w:vAlign w:val="center"/>
          </w:tcPr>
          <w:p w14:paraId="054408BE">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单位</w:t>
            </w:r>
          </w:p>
        </w:tc>
        <w:tc>
          <w:tcPr>
            <w:tcW w:w="1730" w:type="dxa"/>
            <w:vAlign w:val="center"/>
          </w:tcPr>
          <w:p w14:paraId="684E642A">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单价最高限价（元）</w:t>
            </w:r>
          </w:p>
        </w:tc>
        <w:tc>
          <w:tcPr>
            <w:tcW w:w="1278" w:type="dxa"/>
            <w:vAlign w:val="center"/>
          </w:tcPr>
          <w:p w14:paraId="33AE580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最高限价金额（元）</w:t>
            </w:r>
          </w:p>
        </w:tc>
      </w:tr>
      <w:tr w14:paraId="6C5E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10" w:type="dxa"/>
            <w:vAlign w:val="center"/>
          </w:tcPr>
          <w:p w14:paraId="1EB2E55D">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w:t>
            </w:r>
          </w:p>
        </w:tc>
        <w:tc>
          <w:tcPr>
            <w:tcW w:w="2300" w:type="dxa"/>
            <w:vAlign w:val="center"/>
          </w:tcPr>
          <w:p w14:paraId="469759F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一次性纸质利器盒1</w:t>
            </w:r>
          </w:p>
        </w:tc>
        <w:tc>
          <w:tcPr>
            <w:tcW w:w="850" w:type="dxa"/>
            <w:vAlign w:val="center"/>
          </w:tcPr>
          <w:p w14:paraId="051148A2">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5L</w:t>
            </w:r>
          </w:p>
        </w:tc>
        <w:tc>
          <w:tcPr>
            <w:tcW w:w="938" w:type="dxa"/>
            <w:vAlign w:val="center"/>
          </w:tcPr>
          <w:p w14:paraId="7C1013D8">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15000</w:t>
            </w:r>
          </w:p>
        </w:tc>
        <w:tc>
          <w:tcPr>
            <w:tcW w:w="787" w:type="dxa"/>
            <w:vAlign w:val="center"/>
          </w:tcPr>
          <w:p w14:paraId="581554B9">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730" w:type="dxa"/>
            <w:vAlign w:val="center"/>
          </w:tcPr>
          <w:p w14:paraId="5EB1A9F6">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6.00</w:t>
            </w:r>
          </w:p>
        </w:tc>
        <w:tc>
          <w:tcPr>
            <w:tcW w:w="1278" w:type="dxa"/>
            <w:vAlign w:val="center"/>
          </w:tcPr>
          <w:p w14:paraId="2362CD36">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90000.00</w:t>
            </w:r>
          </w:p>
        </w:tc>
      </w:tr>
      <w:tr w14:paraId="2DC5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10" w:type="dxa"/>
            <w:vAlign w:val="center"/>
          </w:tcPr>
          <w:p w14:paraId="0E8CDD86">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w:t>
            </w:r>
          </w:p>
        </w:tc>
        <w:tc>
          <w:tcPr>
            <w:tcW w:w="2300" w:type="dxa"/>
            <w:vAlign w:val="center"/>
          </w:tcPr>
          <w:p w14:paraId="4474A27A">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一次性纸质利器盒2</w:t>
            </w:r>
          </w:p>
        </w:tc>
        <w:tc>
          <w:tcPr>
            <w:tcW w:w="850" w:type="dxa"/>
            <w:vAlign w:val="center"/>
          </w:tcPr>
          <w:p w14:paraId="5AE91FCF">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10.5L</w:t>
            </w:r>
          </w:p>
        </w:tc>
        <w:tc>
          <w:tcPr>
            <w:tcW w:w="938" w:type="dxa"/>
            <w:vAlign w:val="center"/>
          </w:tcPr>
          <w:p w14:paraId="28A53A5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6050</w:t>
            </w:r>
          </w:p>
        </w:tc>
        <w:tc>
          <w:tcPr>
            <w:tcW w:w="787" w:type="dxa"/>
            <w:vAlign w:val="center"/>
          </w:tcPr>
          <w:p w14:paraId="66C372D2">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730" w:type="dxa"/>
            <w:vAlign w:val="center"/>
          </w:tcPr>
          <w:p w14:paraId="2E5E342E">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8.00</w:t>
            </w:r>
          </w:p>
        </w:tc>
        <w:tc>
          <w:tcPr>
            <w:tcW w:w="1278" w:type="dxa"/>
            <w:vAlign w:val="center"/>
          </w:tcPr>
          <w:p w14:paraId="5AB40426">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48400.00</w:t>
            </w:r>
          </w:p>
        </w:tc>
      </w:tr>
      <w:tr w14:paraId="6C94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0" w:type="dxa"/>
            <w:vAlign w:val="center"/>
          </w:tcPr>
          <w:p w14:paraId="1D6DB4D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w:t>
            </w:r>
          </w:p>
        </w:tc>
        <w:tc>
          <w:tcPr>
            <w:tcW w:w="2300" w:type="dxa"/>
            <w:vAlign w:val="center"/>
          </w:tcPr>
          <w:p w14:paraId="37EDEB9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一次性纸质利器盒3</w:t>
            </w:r>
          </w:p>
        </w:tc>
        <w:tc>
          <w:tcPr>
            <w:tcW w:w="850" w:type="dxa"/>
            <w:vAlign w:val="center"/>
          </w:tcPr>
          <w:p w14:paraId="36EA1647">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20L</w:t>
            </w:r>
          </w:p>
        </w:tc>
        <w:tc>
          <w:tcPr>
            <w:tcW w:w="938" w:type="dxa"/>
            <w:vAlign w:val="center"/>
          </w:tcPr>
          <w:p w14:paraId="070F5F81">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4400</w:t>
            </w:r>
          </w:p>
        </w:tc>
        <w:tc>
          <w:tcPr>
            <w:tcW w:w="787" w:type="dxa"/>
            <w:vAlign w:val="center"/>
          </w:tcPr>
          <w:p w14:paraId="72837B55">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个</w:t>
            </w:r>
          </w:p>
        </w:tc>
        <w:tc>
          <w:tcPr>
            <w:tcW w:w="1730" w:type="dxa"/>
            <w:vAlign w:val="center"/>
          </w:tcPr>
          <w:p w14:paraId="75E2F860">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14.00</w:t>
            </w:r>
          </w:p>
        </w:tc>
        <w:tc>
          <w:tcPr>
            <w:tcW w:w="1278" w:type="dxa"/>
            <w:vAlign w:val="center"/>
          </w:tcPr>
          <w:p w14:paraId="1C756722">
            <w:pPr>
              <w:spacing w:line="460" w:lineRule="atLeast"/>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61600.00</w:t>
            </w:r>
          </w:p>
        </w:tc>
      </w:tr>
    </w:tbl>
    <w:p w14:paraId="76A1B30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（二）技术参数要求：</w:t>
      </w:r>
    </w:p>
    <w:p w14:paraId="364AB7E5">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 xml:space="preserve">1.利器盒整体为硬质材料制成，封闭且防刺穿，保证在正常情况下，利器盒内盛装物不撒漏，并且利器盒一旦被封口，在不破坏的情况下无法被再次打开。 </w:t>
      </w:r>
    </w:p>
    <w:p w14:paraId="565AAAD9">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2.利器盒整体颜色为淡黄，</w:t>
      </w:r>
      <w:bookmarkStart w:id="1" w:name="OLE_LINK10"/>
      <w:r>
        <w:rPr>
          <w:rFonts w:hint="eastAsia" w:ascii="宋体" w:hAnsi="宋体" w:eastAsia="宋体" w:cs="宋体"/>
          <w:bCs/>
          <w:kern w:val="0"/>
          <w:sz w:val="24"/>
          <w:shd w:val="clear"/>
          <w:lang w:val="en-US" w:eastAsia="zh-CN"/>
        </w:rPr>
        <w:t xml:space="preserve">颜色应符合 </w:t>
      </w:r>
      <w:bookmarkStart w:id="2" w:name="OLE_LINK9"/>
      <w:r>
        <w:rPr>
          <w:rFonts w:hint="eastAsia" w:ascii="宋体" w:hAnsi="宋体" w:eastAsia="宋体" w:cs="宋体"/>
          <w:bCs/>
          <w:kern w:val="0"/>
          <w:sz w:val="24"/>
          <w:shd w:val="clear"/>
          <w:lang w:val="en-US" w:eastAsia="zh-CN"/>
        </w:rPr>
        <w:t>GB/T 3181</w:t>
      </w:r>
      <w:bookmarkEnd w:id="2"/>
      <w:r>
        <w:rPr>
          <w:rFonts w:hint="eastAsia" w:ascii="宋体" w:hAnsi="宋体" w:eastAsia="宋体" w:cs="宋体"/>
          <w:bCs/>
          <w:kern w:val="0"/>
          <w:sz w:val="24"/>
          <w:shd w:val="clear"/>
          <w:lang w:val="en-US" w:eastAsia="zh-CN"/>
        </w:rPr>
        <w:t>-2008《漆膜颜色标准》中颜色编号 Y06 的要求</w:t>
      </w:r>
      <w:bookmarkEnd w:id="1"/>
      <w:r>
        <w:rPr>
          <w:rFonts w:hint="eastAsia" w:ascii="宋体" w:hAnsi="宋体" w:eastAsia="宋体" w:cs="宋体"/>
          <w:bCs/>
          <w:kern w:val="0"/>
          <w:sz w:val="24"/>
          <w:shd w:val="clear"/>
          <w:lang w:val="en-US" w:eastAsia="zh-CN"/>
        </w:rPr>
        <w:t>，利器盒侧面明显处应印制下图所示的警示标志，警告语为“警告！损伤性废物（Warning！Sharps medical waste）”。警告语和警示标志的印制须符合HJ 421-2008《医疗废物专用包装袋、容器和警示标志标准》要求。</w:t>
      </w:r>
    </w:p>
    <w:p w14:paraId="3DFD559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drawing>
          <wp:inline distT="0" distB="0" distL="114300" distR="114300">
            <wp:extent cx="5487670" cy="3027680"/>
            <wp:effectExtent l="0" t="0" r="17780" b="1270"/>
            <wp:docPr id="7" name="图片 1" descr="警示标志替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警示标志替换"/>
                    <pic:cNvPicPr>
                      <a:picLocks noChangeAspect="1"/>
                    </pic:cNvPicPr>
                  </pic:nvPicPr>
                  <pic:blipFill>
                    <a:blip r:embed="rId4"/>
                    <a:stretch>
                      <a:fillRect/>
                    </a:stretch>
                  </pic:blipFill>
                  <pic:spPr>
                    <a:xfrm>
                      <a:off x="0" y="0"/>
                      <a:ext cx="5487670" cy="3027680"/>
                    </a:xfrm>
                    <a:prstGeom prst="rect">
                      <a:avLst/>
                    </a:prstGeom>
                    <a:noFill/>
                    <a:ln>
                      <a:noFill/>
                    </a:ln>
                  </pic:spPr>
                </pic:pic>
              </a:graphicData>
            </a:graphic>
          </wp:inline>
        </w:drawing>
      </w:r>
    </w:p>
    <w:p w14:paraId="4D9D5826">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3.满盛装量的利器盒从 1.2m 高处自由跌落至水泥地面，连续3次，不会出现破裂、被刺穿等情况。</w:t>
      </w:r>
    </w:p>
    <w:p w14:paraId="06DF80D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★（三）其他要求：</w:t>
      </w:r>
    </w:p>
    <w:p w14:paraId="6177A61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1.成交供应商在合同签订前向采购人提供国家认可的第三方检测机构出具的符合HJ 421-2008《医疗废物专用包装袋、容器和警示标志标准》要求的检验报告复印件。（供应商须在响应文件中提供承诺函，格式自拟，并加盖供应商公章）</w:t>
      </w:r>
    </w:p>
    <w:p w14:paraId="1D91F0D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2.产品交付要求：纸质利器盒含塑料内胆+塑料袋。</w:t>
      </w:r>
    </w:p>
    <w:p w14:paraId="76CFD391">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3.产品包装要求：塑料内胆+外盒为纸箱包装，袋子为编织袋包装，其它产品包装以保护货物完整、不受损伤为标准。</w:t>
      </w:r>
    </w:p>
    <w:p w14:paraId="1C717BF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4.供应商应提供质量合格的全新产品，在每批次交货时，应当提供货物出厂有关质量合格证明文件（如合格证，检验报告等），确保交货质量。无质量合格证明文件采购人有权拒收该批次产品。</w:t>
      </w:r>
    </w:p>
    <w:p w14:paraId="4F5DD33A">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5.产品质保期：质保期≥1年，质保期从产品验收合格之日起计算，质保期内产品在正常存储和使用的情况下出现的任何质量问题由供应商无条件更换，因产品质量问题造成人身伤害或财产损失的，由供应商承担全部赔偿责任。</w:t>
      </w:r>
    </w:p>
    <w:p w14:paraId="47789D3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6.供应商应保证货物到达采购人所在地完好无损，如有缺漏、损坏，由供应商负责补齐或赔偿。</w:t>
      </w:r>
    </w:p>
    <w:p w14:paraId="26013C5A">
      <w:pPr>
        <w:spacing w:line="460" w:lineRule="atLeast"/>
        <w:ind w:firstLine="480" w:firstLineChars="200"/>
        <w:rPr>
          <w:rFonts w:hint="eastAsia" w:ascii="宋体" w:hAnsi="宋体" w:eastAsia="宋体" w:cs="宋体"/>
          <w:bCs/>
          <w:kern w:val="0"/>
          <w:sz w:val="24"/>
          <w:shd w:val="clear"/>
          <w:lang w:val="en-US" w:eastAsia="zh-CN"/>
        </w:rPr>
      </w:pPr>
      <w:bookmarkStart w:id="4" w:name="_GoBack"/>
      <w:bookmarkEnd w:id="4"/>
      <w:r>
        <w:rPr>
          <w:rFonts w:hint="eastAsia" w:ascii="宋体" w:hAnsi="宋体" w:eastAsia="宋体" w:cs="宋体"/>
          <w:bCs/>
          <w:kern w:val="0"/>
          <w:sz w:val="24"/>
          <w:shd w:val="clear"/>
          <w:lang w:val="en-US" w:eastAsia="zh-CN"/>
        </w:rPr>
        <w:t>★（四）样品要求：</w:t>
      </w:r>
    </w:p>
    <w:p w14:paraId="3C66D290">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1.样品数量：“需求清单”中每种规格不少于3个（含配套塑料内胆）</w:t>
      </w:r>
    </w:p>
    <w:p w14:paraId="1FEABC35">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2.样品评审标准：</w:t>
      </w:r>
    </w:p>
    <w:p w14:paraId="63CE98FB">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 xml:space="preserve">（1）利器盒整体为硬质材料制成，封闭且防刺穿，保证在正常情况下，利器盒内盛装物不撒漏，并且利器盒一旦被封口，在不破坏的情况下无法被再次打开。 </w:t>
      </w:r>
    </w:p>
    <w:p w14:paraId="261F7803">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（2）利器盒整体颜色为淡黄（应符合 GB/T 3181-2008《漆膜颜色标准》中颜色编号 Y06 的要求，由供应商在响应文件中提供承诺函，格式自拟，并加盖供应商公章），且各样品之间无明显色差。利器盒侧面明显处应印制下图所示的警示标志，警告语为“警告！损伤性废物（Warning！Sharps medical waste）”。标志无边框、缺字、错字、英文拼写错误等与下图不相符的情形为不合格样品。</w:t>
      </w:r>
    </w:p>
    <w:p w14:paraId="07D7F0E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drawing>
          <wp:inline distT="0" distB="0" distL="114300" distR="114300">
            <wp:extent cx="5353050" cy="2953385"/>
            <wp:effectExtent l="0" t="0" r="0" b="18415"/>
            <wp:docPr id="10" name="图片 4" descr="警示标志替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警示标志替换"/>
                    <pic:cNvPicPr>
                      <a:picLocks noChangeAspect="1"/>
                    </pic:cNvPicPr>
                  </pic:nvPicPr>
                  <pic:blipFill>
                    <a:blip r:embed="rId4"/>
                    <a:stretch>
                      <a:fillRect/>
                    </a:stretch>
                  </pic:blipFill>
                  <pic:spPr>
                    <a:xfrm>
                      <a:off x="0" y="0"/>
                      <a:ext cx="5353050" cy="2953385"/>
                    </a:xfrm>
                    <a:prstGeom prst="rect">
                      <a:avLst/>
                    </a:prstGeom>
                    <a:noFill/>
                    <a:ln>
                      <a:noFill/>
                    </a:ln>
                  </pic:spPr>
                </pic:pic>
              </a:graphicData>
            </a:graphic>
          </wp:inline>
        </w:drawing>
      </w:r>
    </w:p>
    <w:p w14:paraId="0FDAB5F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（3）随机选取任意规格一个样品，将样品内装满物品从 1.2m 高处自由跌落至水泥地面，连续3次，不会出现破裂、被刺穿等情况。</w:t>
      </w:r>
    </w:p>
    <w:p w14:paraId="46A16877">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3.送样要求：</w:t>
      </w:r>
    </w:p>
    <w:p w14:paraId="149CFFC1">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（1）样品接收截止时间与响应文件递交截止时间一致，逾期不予接收。</w:t>
      </w:r>
    </w:p>
    <w:p w14:paraId="5628A36E">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（2）送样地点：与递交响应文件地址一致</w:t>
      </w:r>
    </w:p>
    <w:p w14:paraId="38EF130B">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本项目样品评审采用盲样，供应商递交的样品上不得看见可以识别供应商（或生产厂家）的任何信息或标识或具有暗示性的文字、图案、装饰等（医疗废物警示标志除外），若有，则供应商自行负责遮掩，否则所有样品无效。</w:t>
      </w:r>
    </w:p>
    <w:p w14:paraId="23A42D06">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（4）采购人及采购代理机构对供应商所递交样品的包装、污损和评审中可能发生的破坏性查验不负任何责任。</w:t>
      </w:r>
    </w:p>
    <w:p w14:paraId="0D98C23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5）成交供应商的实物样品将由采购人封存，作为产品验收的依据，未成交的供应商的样品应在接到采购代理机构电话通知起3个工作日内自行取回。3个工作日后不取回样品，则视为自动放弃样品的所有权，采购代理机构有权自行处置相关样品。</w:t>
      </w:r>
    </w:p>
    <w:p w14:paraId="0EB8725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★四、商务要求</w:t>
      </w:r>
    </w:p>
    <w:p w14:paraId="7D97B2BC">
      <w:pPr>
        <w:spacing w:line="460" w:lineRule="atLeast"/>
        <w:ind w:firstLine="480" w:firstLineChars="200"/>
        <w:rPr>
          <w:rFonts w:hint="eastAsia" w:ascii="宋体" w:hAnsi="宋体" w:eastAsia="宋体" w:cs="宋体"/>
          <w:bCs/>
          <w:kern w:val="0"/>
          <w:sz w:val="24"/>
          <w:shd w:val="clear"/>
          <w:lang w:val="en-US" w:eastAsia="zh-CN"/>
        </w:rPr>
      </w:pPr>
      <w:bookmarkStart w:id="3" w:name="OLE_LINK23"/>
      <w:r>
        <w:rPr>
          <w:rFonts w:hint="eastAsia" w:ascii="宋体" w:hAnsi="宋体" w:eastAsia="宋体" w:cs="宋体"/>
          <w:bCs/>
          <w:kern w:val="0"/>
          <w:sz w:val="24"/>
          <w:shd w:val="clear"/>
          <w:lang w:val="en-US" w:eastAsia="zh-CN"/>
        </w:rPr>
        <w:t xml:space="preserve">交货期限：每批次按采购人规定期限交货，全部产品自合同签订生效之日起一年内。 </w:t>
      </w:r>
    </w:p>
    <w:p w14:paraId="440595AF">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合同履行期限：交货自合同签订生效之日起一年内，质保期按合同约定。</w:t>
      </w:r>
    </w:p>
    <w:p w14:paraId="74CD107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（三）交货地点：内江市第一人民医院指定地点。</w:t>
      </w:r>
    </w:p>
    <w:p w14:paraId="08ABF207">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四）结算及支付方式：按每三个月一次据实结算，每次结算金额=（每三个月各产品实际交货数量×各产品成交单价），结算至所有产品全部交付完成为止。付款前供应商应向采购人出具与结算金额等额且合法有效的增值税发票和对应批次的货物明细清单提供至采购人处，采购人按财务支付规定支付结算金额。供应商未能按照约定提供正规发票和有关单据的，采购人有权拒绝支付相应款项且不视为采购人违约。</w:t>
      </w:r>
    </w:p>
    <w:p w14:paraId="07F6CFA3">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（五）本项目报价包括但不限于：产品成本、税费、利润、包装、运输、仓储、装卸、人工、差旅、保险、质保期售后、采购代理服务费等完成本项目的一切费用，采购人不再额外支付其他任何费用。</w:t>
      </w:r>
    </w:p>
    <w:p w14:paraId="0A24B87B">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六）本项目为分批次供货，不限批次，每次供货数量不定，无论每批次需求数量多少，供应商均须保证按时、按需、保质、保量配送至采购人指定地点，不按照采购人需求数量配送的，采购人有权拒绝收货和验收入库。</w:t>
      </w:r>
    </w:p>
    <w:p w14:paraId="5A8F77CC">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（七）供应商应保证所提供的产品均不会侵犯任何第三方的知识产权，且权属清楚。如因此与第三人发生争议、诉讼或仲裁案件，由供应商承担全部责任，并负责赔偿采购人由此而遭受的全部损失。</w:t>
      </w:r>
    </w:p>
    <w:bookmarkEnd w:id="3"/>
    <w:p w14:paraId="698BF703">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八）供应商在履约期间，应当遵守采购人的安全生产等规章制度，应做好安全、环保等预防措施，因供应商原因造成的一切人身财产损失等均由供应商承担全部责任，采购人不承担任何责任。（供应商须在响应文件中提供承诺函，格式自拟，并加盖供应商公章）</w:t>
      </w:r>
    </w:p>
    <w:p w14:paraId="66A5F3B9">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（九）缔约过失责任</w:t>
      </w:r>
    </w:p>
    <w:p w14:paraId="333B916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1.供应商成交后无正当理由未能在规定时间内与采购人签订合同的，需向采购人支付本项目采购预算的 30%作为赔偿金。赔偿金不足以弥补采购人全部损失的，还应赔偿采购人全部损失。</w:t>
      </w:r>
    </w:p>
    <w:p w14:paraId="66BA0B8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2.若成交供应商提交的投标(响应)文件存在虚假材料或虚假响应的情况，成交供应商应向采购人支付本项目预算金额30%的赔偿金。</w:t>
      </w:r>
    </w:p>
    <w:p w14:paraId="40BAF28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五、违约责任与解决争议的方法</w:t>
      </w:r>
    </w:p>
    <w:p w14:paraId="1B2ADDA6">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（一）违约责任</w:t>
      </w:r>
    </w:p>
    <w:p w14:paraId="6D24225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1.供应商不能按时提供采购人所需产品的，每逾期1日，应向采购人支付合同最高限价金额1‰的违约金。</w:t>
      </w:r>
    </w:p>
    <w:p w14:paraId="3FF780D9">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2.供应商逾期15日不能交付产品的，视同不能供货，应向采购人支付合同最高限价金额的10%的违约金，同时采购人有权单方面解除合同。</w:t>
      </w:r>
    </w:p>
    <w:p w14:paraId="4FA6D6D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供应商提供的产品被国家法定质量检测机构检测为不合格产品的，视为供应商违约导致不能实现本合同目的，采购人有权单方面解除合同，可要求供应商限期收回不合格产品，并要求供应商承担合同最高限价金额20%的违约金，违约金不足以弥补损失的，供应商还应当承担损失赔偿责任。即使产品已经验收入库后，采购人才发现产品为不合格产品的，也视为供应商违约，供应商应当承担本条约定的责任。</w:t>
      </w:r>
    </w:p>
    <w:p w14:paraId="60525070">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4.因供应商提供的产品质量不合格造成采购人或第三人人身损害或财产损失的，由供应商承担全部赔偿责任。</w:t>
      </w:r>
    </w:p>
    <w:p w14:paraId="0EE364DC">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5.合同生效后，双方均应全面履行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4E543609">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6.供应商拒不提供货物或不履行其主要合同义务的，构成根本性违约，应当向采购人支付合同最高限价金额30%的违约金，同时采购人有权单方面解除合同。</w:t>
      </w:r>
    </w:p>
    <w:p w14:paraId="41FD8834">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7.供应商擅自变更、中止、终止、解除合同的，应按合同最高限价金额30%向采购人支付违约金，同时采购人有权单方解除合同。</w:t>
      </w:r>
    </w:p>
    <w:p w14:paraId="6A97F2C6">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（二）争议解决办法</w:t>
      </w:r>
    </w:p>
    <w:p w14:paraId="4ABC460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1.因提供的产品质量问题发生的争议，由国家认可的质量鉴定机构进行质量鉴定。产品符合标准的，鉴定费由采购人承担；产品不符合质量标准的，鉴定费由供应商承担。</w:t>
      </w:r>
    </w:p>
    <w:p w14:paraId="4BC6E3BD">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2.合同履行期间，若双方发生争议，可协商或由有关部门调解解决，协商或调解不成的，可以向采购人所在地人民法院依法提起诉讼。</w:t>
      </w:r>
    </w:p>
    <w:p w14:paraId="5E77D867">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3.在诉讼期间，除正在进行诉讼部分外，合同其他部分继续执行。</w:t>
      </w:r>
    </w:p>
    <w:p w14:paraId="68FAF17A">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六、履约验收方案</w:t>
      </w:r>
    </w:p>
    <w:p w14:paraId="1E9908F8">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（一）履约验收程序：每批次产品供应商送达并组装完成后，由采购人按照合同约定进行验收。</w:t>
      </w:r>
    </w:p>
    <w:p w14:paraId="06D7DED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（二）履约验收时间：每批次产品供应商送达并组装完成后，采购人在3个工作日内完成验收。</w:t>
      </w:r>
    </w:p>
    <w:p w14:paraId="49423B51">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（三）验收组织的其他事项：无。</w:t>
      </w:r>
    </w:p>
    <w:p w14:paraId="43AC4032">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（四）技术履约验收内容：严格按照采购文件、采购合同及成交供应商的响应文件中的技术要求和服务要求约定标准进行验收。</w:t>
      </w:r>
    </w:p>
    <w:p w14:paraId="27B707C5">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（五）商务履约验收内容：严格按照采购文件、采购合同及成交供应商的响应文件中的商务要求约定标准进行验收。</w:t>
      </w:r>
    </w:p>
    <w:p w14:paraId="31BCD8A9">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（六）履约验收标准：相关国家标准、采购文件的技术指标和质量要求、供应商的响应文件及承诺以及合同约定标准。</w:t>
      </w:r>
    </w:p>
    <w:p w14:paraId="64775288">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（七）履约验收其他事项：无。</w:t>
      </w:r>
    </w:p>
    <w:p w14:paraId="3F56A6CB">
      <w:pPr>
        <w:spacing w:line="460" w:lineRule="atLeast"/>
        <w:ind w:firstLine="480" w:firstLineChars="200"/>
        <w:rPr>
          <w:rFonts w:hint="eastAsia" w:ascii="宋体" w:hAnsi="宋体" w:eastAsia="宋体" w:cs="宋体"/>
          <w:bCs/>
          <w:kern w:val="0"/>
          <w:sz w:val="24"/>
          <w:shd w:val="clear"/>
          <w:lang w:val="en-US" w:eastAsia="zh-CN"/>
        </w:rPr>
      </w:pPr>
      <w:r>
        <w:rPr>
          <w:rFonts w:hint="eastAsia" w:ascii="宋体" w:hAnsi="宋体" w:eastAsia="宋体" w:cs="宋体"/>
          <w:bCs/>
          <w:kern w:val="0"/>
          <w:sz w:val="24"/>
          <w:shd w:val="clear"/>
          <w:lang w:val="en-US" w:eastAsia="zh-CN"/>
        </w:rPr>
        <w:t>注：本章的技术、服务及其他要求中，带“★”的要求为实质性要求。采购人、代理机构应当根据项目实际要求合理设定，并在第五章符合性审查中明确响应要求。</w:t>
      </w:r>
    </w:p>
    <w:p w14:paraId="1F8B3055">
      <w:pPr>
        <w:jc w:val="left"/>
      </w:pPr>
    </w:p>
    <w:sectPr>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17864BD"/>
    <w:rsid w:val="147B313F"/>
    <w:rsid w:val="17161C69"/>
    <w:rsid w:val="1A916375"/>
    <w:rsid w:val="1AA82C77"/>
    <w:rsid w:val="25F31CBD"/>
    <w:rsid w:val="26E40F07"/>
    <w:rsid w:val="32854C28"/>
    <w:rsid w:val="3DCE50EF"/>
    <w:rsid w:val="451B62D7"/>
    <w:rsid w:val="515A408D"/>
    <w:rsid w:val="57636862"/>
    <w:rsid w:val="59B36998"/>
    <w:rsid w:val="5CAC1AD8"/>
    <w:rsid w:val="61F52563"/>
    <w:rsid w:val="61F65C1C"/>
    <w:rsid w:val="64FB738F"/>
    <w:rsid w:val="695479B7"/>
    <w:rsid w:val="6B4D2A0E"/>
    <w:rsid w:val="6E420AFB"/>
    <w:rsid w:val="74877B56"/>
    <w:rsid w:val="79230381"/>
    <w:rsid w:val="7A041BA8"/>
    <w:rsid w:val="7EC64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paragraph" w:styleId="4">
    <w:name w:val="annotation text"/>
    <w:basedOn w:val="1"/>
    <w:qFormat/>
    <w:uiPriority w:val="0"/>
    <w:pPr>
      <w:jc w:val="left"/>
    </w:pPr>
    <w:rPr>
      <w:sz w:val="18"/>
      <w:szCs w:val="20"/>
    </w:rPr>
  </w:style>
  <w:style w:type="paragraph" w:styleId="5">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正文首行缩进 + 首行缩进:  2 字符1 Char Char"/>
    <w:basedOn w:val="1"/>
    <w:qFormat/>
    <w:uiPriority w:val="0"/>
    <w:pPr>
      <w:widowControl w:val="0"/>
      <w:adjustRightInd w:val="0"/>
      <w:spacing w:before="0" w:after="0" w:line="400" w:lineRule="exact"/>
      <w:ind w:firstLine="480" w:firstLineChars="200"/>
      <w:textAlignment w:val="baseline"/>
    </w:pPr>
    <w:rPr>
      <w:rFonts w:ascii="宋体" w:hAnsi="宋体" w:eastAsia="仿宋_GB2312" w:cs="宋体"/>
      <w:color w:val="000000"/>
      <w:kern w:val="2"/>
      <w:sz w:val="26"/>
      <w:szCs w:val="20"/>
      <w:lang w:eastAsia="zh-CN"/>
    </w:rPr>
  </w:style>
  <w:style w:type="paragraph" w:customStyle="1" w:styleId="10">
    <w:name w:val="null3"/>
    <w:hidden/>
    <w:qFormat/>
    <w:uiPriority w:val="0"/>
    <w:rPr>
      <w:rFonts w:hint="eastAsia" w:asciiTheme="minorHAnsi" w:hAnsiTheme="minorHAnsi" w:eastAsiaTheme="minorEastAsia" w:cstheme="minorBidi"/>
      <w:lang w:val="en-US" w:eastAsia="zh-Hans"/>
    </w:rPr>
  </w:style>
  <w:style w:type="paragraph" w:customStyle="1" w:styleId="11">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3537</Words>
  <Characters>3760</Characters>
  <Lines>0</Lines>
  <Paragraphs>0</Paragraphs>
  <TotalTime>0</TotalTime>
  <ScaleCrop>false</ScaleCrop>
  <LinksUpToDate>false</LinksUpToDate>
  <CharactersWithSpaces>3784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乔祎</cp:lastModifiedBy>
  <dcterms:modified xsi:type="dcterms:W3CDTF">2026-05-20T02:36:51Z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11A8E4A81E5C459F8BBBEA788B089B22_11</vt:lpwstr>
  </property>
  <property fmtid="{D5CDD505-2E9C-101B-9397-08002B2CF9AE}" pid="4" name="KSOTemplateDocerSaveRecord">
    <vt:lpwstr>eyJoZGlkIjoiMWUxNTcxYzhmNDIzNTRkN2Q2ZGJhNTgzMmJkMDA4ZWQiLCJ1c2VySWQiOiI2MzU3ODQwNjAifQ==</vt:lpwstr>
  </property>
</Properties>
</file>