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C4272">
      <w:pPr>
        <w:jc w:val="center"/>
        <w:outlineLvl w:val="0"/>
        <w:rPr>
          <w:rFonts w:hint="default" w:ascii="仿宋" w:hAnsi="仿宋" w:eastAsia="仿宋" w:cs="仿宋"/>
          <w:lang w:val="en-US" w:eastAsia="zh-Hans" w:bidi="ar-SA"/>
        </w:rPr>
      </w:pPr>
      <w:bookmarkStart w:id="0" w:name="_Toc27801"/>
      <w:r>
        <w:rPr>
          <w:rFonts w:hint="eastAsia" w:ascii="仿宋" w:hAnsi="仿宋" w:eastAsia="仿宋" w:cs="仿宋"/>
          <w:b/>
          <w:sz w:val="36"/>
          <w:lang w:val="en-US" w:eastAsia="zh-Hans" w:bidi="ar-SA"/>
        </w:rPr>
        <w:t>第三章 技术、服务及其他要求</w:t>
      </w:r>
      <w:bookmarkEnd w:id="0"/>
    </w:p>
    <w:p w14:paraId="29C4A5D4">
      <w:pPr>
        <w:ind w:firstLine="480"/>
        <w:rPr>
          <w:rFonts w:hint="default" w:ascii="仿宋" w:hAnsi="仿宋" w:eastAsia="仿宋" w:cs="仿宋"/>
          <w:lang w:val="en-US" w:eastAsia="zh-Hans" w:bidi="ar-SA"/>
        </w:rPr>
      </w:pPr>
      <w:r>
        <w:rPr>
          <w:rFonts w:hint="eastAsia" w:ascii="仿宋" w:hAnsi="仿宋" w:eastAsia="仿宋" w:cs="仿宋"/>
          <w:lang w:val="en-US" w:eastAsia="zh-Hans" w:bidi="ar-SA"/>
        </w:rPr>
        <w:t>（注：本章的技术、服务及其他要求中，带“★”的要求为实质性要求。</w:t>
      </w:r>
      <w:r>
        <w:rPr>
          <w:rFonts w:hint="eastAsia" w:ascii="仿宋" w:hAnsi="仿宋" w:eastAsia="仿宋" w:cs="仿宋"/>
          <w:lang w:val="en-US" w:eastAsia="zh-CN" w:bidi="ar-SA"/>
        </w:rPr>
        <w:t>采购人</w:t>
      </w:r>
      <w:r>
        <w:rPr>
          <w:rFonts w:hint="eastAsia" w:ascii="仿宋" w:hAnsi="仿宋" w:eastAsia="仿宋" w:cs="仿宋"/>
          <w:lang w:val="en-US" w:eastAsia="zh-Hans" w:bidi="ar-SA"/>
        </w:rPr>
        <w:t>、代理机构应当根据项目实际要求合理设定，并在第五章符合性审查中明确响应要求。）</w:t>
      </w:r>
    </w:p>
    <w:p w14:paraId="54FEF495">
      <w:pPr>
        <w:outlineLvl w:val="1"/>
        <w:rPr>
          <w:rFonts w:hint="default" w:ascii="仿宋" w:hAnsi="仿宋" w:eastAsia="仿宋" w:cs="仿宋"/>
          <w:lang w:val="en-US" w:eastAsia="zh-CN" w:bidi="ar-SA"/>
        </w:rPr>
      </w:pPr>
      <w:r>
        <w:rPr>
          <w:rFonts w:hint="eastAsia" w:ascii="仿宋" w:hAnsi="仿宋" w:eastAsia="仿宋" w:cs="仿宋"/>
          <w:b/>
          <w:sz w:val="28"/>
          <w:lang w:val="en-US" w:eastAsia="zh-Hans" w:bidi="ar-SA"/>
        </w:rPr>
        <w:t>3.1.</w:t>
      </w:r>
      <w:r>
        <w:rPr>
          <w:rFonts w:hint="eastAsia" w:ascii="仿宋" w:hAnsi="仿宋" w:eastAsia="仿宋" w:cs="仿宋"/>
          <w:b/>
          <w:sz w:val="28"/>
          <w:lang w:val="en-US" w:eastAsia="zh-CN" w:bidi="ar-SA"/>
        </w:rPr>
        <w:t>标的情况</w:t>
      </w:r>
    </w:p>
    <w:p w14:paraId="64CF54F1">
      <w:pPr>
        <w:outlineLvl w:val="2"/>
        <w:rPr>
          <w:rFonts w:hint="default" w:ascii="仿宋" w:hAnsi="仿宋" w:eastAsia="仿宋" w:cs="仿宋"/>
          <w:b/>
          <w:bCs/>
          <w:lang w:val="en-US" w:eastAsia="zh-Hans" w:bidi="ar-SA"/>
        </w:rPr>
      </w:pPr>
      <w:r>
        <w:rPr>
          <w:rFonts w:hint="eastAsia" w:ascii="仿宋" w:hAnsi="仿宋" w:eastAsia="仿宋" w:cs="仿宋"/>
          <w:b/>
          <w:bCs/>
          <w:sz w:val="24"/>
          <w:szCs w:val="24"/>
          <w:lang w:val="en-US" w:eastAsia="zh-Hans" w:bidi="ar-SA"/>
        </w:rPr>
        <w:t>采购包1：</w:t>
      </w:r>
    </w:p>
    <w:tbl>
      <w:tblPr>
        <w:tblStyle w:val="3"/>
        <w:tblW w:w="851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1"/>
        <w:gridCol w:w="629"/>
        <w:gridCol w:w="2253"/>
        <w:gridCol w:w="1484"/>
        <w:gridCol w:w="1111"/>
        <w:gridCol w:w="1222"/>
        <w:gridCol w:w="1327"/>
      </w:tblGrid>
      <w:tr w14:paraId="12CDE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491" w:type="dxa"/>
            <w:vAlign w:val="center"/>
          </w:tcPr>
          <w:p w14:paraId="4BB4E061">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包号</w:t>
            </w:r>
          </w:p>
        </w:tc>
        <w:tc>
          <w:tcPr>
            <w:tcW w:w="629" w:type="dxa"/>
            <w:vAlign w:val="center"/>
          </w:tcPr>
          <w:p w14:paraId="1BBF0B4D">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编号</w:t>
            </w:r>
          </w:p>
        </w:tc>
        <w:tc>
          <w:tcPr>
            <w:tcW w:w="2253" w:type="dxa"/>
            <w:vAlign w:val="center"/>
          </w:tcPr>
          <w:p w14:paraId="00322631">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标的名称</w:t>
            </w:r>
          </w:p>
        </w:tc>
        <w:tc>
          <w:tcPr>
            <w:tcW w:w="1484" w:type="dxa"/>
            <w:vAlign w:val="center"/>
          </w:tcPr>
          <w:p w14:paraId="0BFBC5CE">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★单价最高限价（元）</w:t>
            </w:r>
          </w:p>
        </w:tc>
        <w:tc>
          <w:tcPr>
            <w:tcW w:w="1111" w:type="dxa"/>
            <w:vAlign w:val="center"/>
          </w:tcPr>
          <w:p w14:paraId="6A9E45CE">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数量</w:t>
            </w:r>
          </w:p>
        </w:tc>
        <w:tc>
          <w:tcPr>
            <w:tcW w:w="1222" w:type="dxa"/>
            <w:vAlign w:val="center"/>
          </w:tcPr>
          <w:p w14:paraId="6D0A4901">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计量单位</w:t>
            </w:r>
          </w:p>
        </w:tc>
        <w:tc>
          <w:tcPr>
            <w:tcW w:w="1327" w:type="dxa"/>
            <w:vAlign w:val="center"/>
          </w:tcPr>
          <w:p w14:paraId="715BFB30">
            <w:pPr>
              <w:jc w:val="center"/>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项目最高限价（元）</w:t>
            </w:r>
          </w:p>
        </w:tc>
      </w:tr>
      <w:tr w14:paraId="1D29E5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491" w:type="dxa"/>
            <w:vAlign w:val="center"/>
          </w:tcPr>
          <w:p w14:paraId="69583BD8">
            <w:pPr>
              <w:jc w:val="center"/>
              <w:rPr>
                <w:rFonts w:hint="default" w:ascii="仿宋" w:hAnsi="仿宋" w:eastAsia="仿宋" w:cs="仿宋"/>
                <w:sz w:val="22"/>
                <w:szCs w:val="22"/>
                <w:lang w:val="en-US" w:eastAsia="zh-CN" w:bidi="ar-SA"/>
              </w:rPr>
            </w:pPr>
            <w:r>
              <w:rPr>
                <w:rFonts w:hint="eastAsia" w:ascii="仿宋" w:hAnsi="仿宋" w:eastAsia="仿宋" w:cs="仿宋"/>
                <w:sz w:val="22"/>
                <w:szCs w:val="22"/>
                <w:lang w:val="en-US" w:eastAsia="zh-CN" w:bidi="ar-SA"/>
              </w:rPr>
              <w:t>1</w:t>
            </w:r>
          </w:p>
        </w:tc>
        <w:tc>
          <w:tcPr>
            <w:tcW w:w="629" w:type="dxa"/>
            <w:vAlign w:val="center"/>
          </w:tcPr>
          <w:p w14:paraId="43B915CF">
            <w:pPr>
              <w:widowControl/>
              <w:jc w:val="center"/>
              <w:textAlignment w:val="center"/>
              <w:rPr>
                <w:rFonts w:ascii="仿宋" w:hAnsi="仿宋" w:eastAsia="仿宋" w:cs="仿宋"/>
                <w:sz w:val="22"/>
                <w:szCs w:val="22"/>
              </w:rPr>
            </w:pPr>
            <w:r>
              <w:rPr>
                <w:rFonts w:hint="eastAsia" w:ascii="仿宋" w:hAnsi="仿宋" w:eastAsia="仿宋" w:cs="仿宋"/>
                <w:color w:val="000000"/>
                <w:kern w:val="0"/>
                <w:szCs w:val="21"/>
                <w:lang w:bidi="ar"/>
              </w:rPr>
              <w:t>1</w:t>
            </w:r>
          </w:p>
        </w:tc>
        <w:tc>
          <w:tcPr>
            <w:tcW w:w="2253" w:type="dxa"/>
            <w:vAlign w:val="center"/>
          </w:tcPr>
          <w:p w14:paraId="40DCD4AC">
            <w:pPr>
              <w:widowControl/>
              <w:tabs>
                <w:tab w:val="center" w:pos="365"/>
                <w:tab w:val="left" w:pos="526"/>
              </w:tabs>
              <w:jc w:val="center"/>
              <w:textAlignment w:val="center"/>
              <w:rPr>
                <w:rFonts w:ascii="仿宋" w:hAnsi="仿宋" w:eastAsia="仿宋" w:cs="仿宋"/>
                <w:sz w:val="20"/>
                <w:szCs w:val="20"/>
              </w:rPr>
            </w:pPr>
            <w:r>
              <w:rPr>
                <w:rFonts w:hint="eastAsia" w:ascii="仿宋" w:hAnsi="仿宋" w:eastAsia="仿宋" w:cs="仿宋"/>
                <w:sz w:val="20"/>
                <w:szCs w:val="20"/>
              </w:rPr>
              <w:t>热升华打印纸</w:t>
            </w:r>
          </w:p>
        </w:tc>
        <w:tc>
          <w:tcPr>
            <w:tcW w:w="1484" w:type="dxa"/>
            <w:vAlign w:val="center"/>
          </w:tcPr>
          <w:p w14:paraId="226B1447">
            <w:pPr>
              <w:widowControl/>
              <w:tabs>
                <w:tab w:val="center" w:pos="365"/>
                <w:tab w:val="left" w:pos="526"/>
              </w:tabs>
              <w:jc w:val="center"/>
              <w:textAlignment w:val="center"/>
              <w:rPr>
                <w:rFonts w:ascii="仿宋" w:hAnsi="仿宋" w:eastAsia="仿宋" w:cs="仿宋"/>
                <w:sz w:val="20"/>
                <w:szCs w:val="20"/>
              </w:rPr>
            </w:pPr>
            <w:r>
              <w:rPr>
                <w:rFonts w:hint="eastAsia" w:ascii="仿宋" w:hAnsi="仿宋" w:eastAsia="仿宋" w:cs="仿宋"/>
                <w:sz w:val="20"/>
                <w:szCs w:val="20"/>
              </w:rPr>
              <w:t>15.00</w:t>
            </w:r>
          </w:p>
        </w:tc>
        <w:tc>
          <w:tcPr>
            <w:tcW w:w="1111" w:type="dxa"/>
            <w:vAlign w:val="center"/>
          </w:tcPr>
          <w:p w14:paraId="1051C44D">
            <w:pPr>
              <w:widowControl/>
              <w:tabs>
                <w:tab w:val="center" w:pos="365"/>
                <w:tab w:val="left" w:pos="526"/>
              </w:tabs>
              <w:jc w:val="center"/>
              <w:textAlignment w:val="center"/>
              <w:rPr>
                <w:rFonts w:ascii="仿宋" w:hAnsi="仿宋" w:eastAsia="仿宋" w:cs="仿宋"/>
                <w:sz w:val="20"/>
                <w:szCs w:val="20"/>
              </w:rPr>
            </w:pPr>
            <w:r>
              <w:rPr>
                <w:rFonts w:hint="eastAsia" w:ascii="仿宋" w:hAnsi="仿宋" w:eastAsia="仿宋" w:cs="仿宋"/>
                <w:sz w:val="20"/>
                <w:szCs w:val="20"/>
              </w:rPr>
              <w:t>8000</w:t>
            </w:r>
          </w:p>
        </w:tc>
        <w:tc>
          <w:tcPr>
            <w:tcW w:w="1222" w:type="dxa"/>
            <w:vAlign w:val="center"/>
          </w:tcPr>
          <w:p w14:paraId="2CBE1271">
            <w:pPr>
              <w:widowControl/>
              <w:tabs>
                <w:tab w:val="center" w:pos="365"/>
                <w:tab w:val="left" w:pos="526"/>
              </w:tabs>
              <w:jc w:val="center"/>
              <w:textAlignment w:val="center"/>
              <w:rPr>
                <w:rFonts w:ascii="仿宋" w:hAnsi="仿宋" w:eastAsia="仿宋" w:cs="仿宋"/>
                <w:sz w:val="20"/>
                <w:szCs w:val="20"/>
              </w:rPr>
            </w:pPr>
            <w:r>
              <w:rPr>
                <w:rFonts w:hint="eastAsia" w:ascii="仿宋" w:hAnsi="仿宋" w:eastAsia="仿宋" w:cs="仿宋"/>
                <w:sz w:val="20"/>
                <w:szCs w:val="20"/>
              </w:rPr>
              <w:t>张</w:t>
            </w:r>
          </w:p>
        </w:tc>
        <w:tc>
          <w:tcPr>
            <w:tcW w:w="1327" w:type="dxa"/>
            <w:vAlign w:val="center"/>
          </w:tcPr>
          <w:p w14:paraId="0F6FADB6">
            <w:pPr>
              <w:widowControl/>
              <w:tabs>
                <w:tab w:val="center" w:pos="365"/>
                <w:tab w:val="left" w:pos="526"/>
              </w:tabs>
              <w:jc w:val="center"/>
              <w:textAlignment w:val="center"/>
              <w:rPr>
                <w:rFonts w:ascii="仿宋" w:hAnsi="仿宋" w:eastAsia="仿宋" w:cs="仿宋"/>
                <w:sz w:val="24"/>
                <w:szCs w:val="32"/>
              </w:rPr>
            </w:pPr>
            <w:r>
              <w:rPr>
                <w:rFonts w:hint="eastAsia" w:ascii="仿宋" w:hAnsi="仿宋" w:eastAsia="仿宋" w:cs="仿宋"/>
                <w:sz w:val="20"/>
                <w:szCs w:val="20"/>
              </w:rPr>
              <w:t>120000.00</w:t>
            </w:r>
          </w:p>
        </w:tc>
      </w:tr>
    </w:tbl>
    <w:p w14:paraId="55912D52">
      <w:pPr>
        <w:ind w:firstLine="400" w:firstLineChars="200"/>
        <w:rPr>
          <w:rFonts w:hint="default" w:ascii="仿宋" w:hAnsi="仿宋" w:eastAsia="仿宋" w:cs="仿宋"/>
          <w:lang w:val="en-US" w:eastAsia="zh-Hans" w:bidi="ar-SA"/>
        </w:rPr>
      </w:pPr>
      <w:r>
        <w:rPr>
          <w:rFonts w:hint="eastAsia" w:ascii="仿宋" w:hAnsi="仿宋" w:eastAsia="仿宋" w:cs="仿宋"/>
          <w:lang w:val="en-US" w:eastAsia="zh-Hans" w:bidi="ar-SA"/>
        </w:rPr>
        <w:t>★注：</w:t>
      </w:r>
      <w:r>
        <w:rPr>
          <w:rFonts w:hint="eastAsia" w:ascii="仿宋" w:hAnsi="仿宋" w:eastAsia="仿宋" w:cs="仿宋"/>
          <w:lang w:val="en-US" w:eastAsia="zh-CN" w:bidi="ar-SA"/>
        </w:rPr>
        <w:t>竞选人</w:t>
      </w:r>
      <w:r>
        <w:rPr>
          <w:rFonts w:hint="eastAsia" w:ascii="仿宋" w:hAnsi="仿宋" w:eastAsia="仿宋" w:cs="仿宋"/>
          <w:lang w:val="en-US" w:eastAsia="zh-Hans" w:bidi="ar-SA"/>
        </w:rPr>
        <w:t>响应产品应当明确</w:t>
      </w:r>
      <w:r>
        <w:rPr>
          <w:rFonts w:hint="eastAsia" w:ascii="仿宋" w:hAnsi="仿宋" w:eastAsia="仿宋" w:cs="仿宋"/>
          <w:lang w:val="en-US" w:eastAsia="zh-CN" w:bidi="ar-SA"/>
        </w:rPr>
        <w:t>生产厂家</w:t>
      </w:r>
      <w:r>
        <w:rPr>
          <w:rFonts w:hint="eastAsia" w:ascii="仿宋" w:hAnsi="仿宋" w:eastAsia="仿宋" w:cs="仿宋"/>
          <w:lang w:val="en-US" w:eastAsia="zh-Hans" w:bidi="ar-SA"/>
        </w:rPr>
        <w:t>和规格型号并指向唯一产品，不能指向唯一产品的，应通过报价表唯一产品说明栏补充说明。</w:t>
      </w:r>
    </w:p>
    <w:p w14:paraId="2BD953C7">
      <w:pPr>
        <w:rPr>
          <w:rFonts w:hint="default" w:ascii="仿宋" w:hAnsi="仿宋" w:eastAsia="仿宋" w:cs="仿宋"/>
          <w:lang w:val="en-US" w:eastAsia="zh-Hans" w:bidi="ar-SA"/>
        </w:rPr>
      </w:pPr>
    </w:p>
    <w:p w14:paraId="560F1FBB">
      <w:pPr>
        <w:outlineLvl w:val="1"/>
        <w:rPr>
          <w:rFonts w:hint="default" w:ascii="仿宋" w:hAnsi="仿宋" w:eastAsia="仿宋" w:cs="仿宋"/>
          <w:lang w:val="en-US" w:eastAsia="zh-CN" w:bidi="ar-SA"/>
        </w:rPr>
      </w:pPr>
      <w:r>
        <w:rPr>
          <w:rFonts w:hint="eastAsia" w:ascii="仿宋" w:hAnsi="仿宋" w:eastAsia="仿宋" w:cs="仿宋"/>
          <w:b/>
          <w:sz w:val="28"/>
          <w:lang w:val="en-US" w:eastAsia="zh-Hans" w:bidi="ar-SA"/>
        </w:rPr>
        <w:t>3.2.技术要求</w:t>
      </w:r>
    </w:p>
    <w:p w14:paraId="02B19E44">
      <w:pPr>
        <w:outlineLvl w:val="2"/>
        <w:rPr>
          <w:rFonts w:hint="default" w:ascii="仿宋" w:hAnsi="仿宋" w:eastAsia="仿宋" w:cs="仿宋"/>
          <w:b/>
          <w:bCs/>
          <w:sz w:val="22"/>
          <w:szCs w:val="22"/>
          <w:lang w:val="en-US" w:eastAsia="zh-Hans" w:bidi="ar-SA"/>
        </w:rPr>
      </w:pPr>
      <w:r>
        <w:rPr>
          <w:rFonts w:hint="eastAsia" w:ascii="仿宋" w:hAnsi="仿宋" w:eastAsia="仿宋" w:cs="仿宋"/>
          <w:b/>
          <w:bCs/>
          <w:sz w:val="22"/>
          <w:szCs w:val="22"/>
          <w:lang w:val="en-US" w:eastAsia="zh-Hans" w:bidi="ar-SA"/>
        </w:rPr>
        <w:t>采购包1：</w:t>
      </w:r>
    </w:p>
    <w:p w14:paraId="14D0E432">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★（一）参数要求</w:t>
      </w:r>
    </w:p>
    <w:p w14:paraId="6E50C7E1">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1.用途:专用于PET/CT融合图像打印输出。</w:t>
      </w:r>
    </w:p>
    <w:p w14:paraId="44B8865E">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2.规格：国标A4</w:t>
      </w:r>
    </w:p>
    <w:p w14:paraId="3F36BA62">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3.耗材:色带(每箱色带数量与打印纸数量相匹配)</w:t>
      </w:r>
    </w:p>
    <w:p w14:paraId="7F6015F7">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4.克重：≥228g/㎡</w:t>
      </w:r>
    </w:p>
    <w:p w14:paraId="1FD3D050">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5.厚度:188±15μm</w:t>
      </w:r>
    </w:p>
    <w:p w14:paraId="0757294A">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6.白度：≥92%</w:t>
      </w:r>
    </w:p>
    <w:p w14:paraId="36592E42">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7.光泽度：≥35%</w:t>
      </w:r>
    </w:p>
    <w:p w14:paraId="60668409">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8.不透明度：≥95%</w:t>
      </w:r>
    </w:p>
    <w:p w14:paraId="2C13B507">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9.全幅面打印、无边框，自动镀膜，防水、防手印，保存期限≥30年。</w:t>
      </w:r>
    </w:p>
    <w:p w14:paraId="50F35B96">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10.纸面平整洁净，无褶子、皱纹、破损、硬质块、透光点、鱼鳞斑、色差、各种斑点和明显的毛布痕等。</w:t>
      </w:r>
    </w:p>
    <w:p w14:paraId="1070A28A">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11.须提供配套专用热升华打印机1台：</w:t>
      </w:r>
    </w:p>
    <w:p w14:paraId="1B0D040F">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11.1打印方式：热升华打印</w:t>
      </w:r>
    </w:p>
    <w:p w14:paraId="102177DA">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11.2打印容量：≥110张</w:t>
      </w:r>
    </w:p>
    <w:p w14:paraId="082C4D0C">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11.3打印尺寸：210mm×297mm(国标A4)，便于和文字报告合订成册（</w:t>
      </w:r>
      <w:r>
        <w:rPr>
          <w:rFonts w:hint="eastAsia" w:ascii="仿宋" w:hAnsi="仿宋" w:eastAsia="仿宋" w:cs="仿宋"/>
          <w:b/>
          <w:color w:val="000000"/>
          <w:sz w:val="22"/>
          <w:szCs w:val="22"/>
          <w:lang w:val="en-US" w:eastAsia="zh-CN" w:bidi="ar"/>
        </w:rPr>
        <w:t>供应商须在响应文件中提供官方产品彩页资料或使用说明书复印件证明</w:t>
      </w:r>
      <w:r>
        <w:rPr>
          <w:rFonts w:hint="eastAsia" w:ascii="仿宋" w:hAnsi="仿宋" w:eastAsia="仿宋" w:cs="仿宋"/>
          <w:color w:val="000000"/>
          <w:sz w:val="22"/>
          <w:szCs w:val="22"/>
          <w:lang w:val="en-US" w:eastAsia="zh-CN" w:bidi="ar"/>
        </w:rPr>
        <w:t>）</w:t>
      </w:r>
    </w:p>
    <w:p w14:paraId="4141DA7E">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11.4打印速度：≥25秒/张</w:t>
      </w:r>
    </w:p>
    <w:p w14:paraId="4F734A56">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11.5分辨率：≥600×600dpi</w:t>
      </w:r>
    </w:p>
    <w:p w14:paraId="762327E5">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11.6支持DICOM打印，可根据科室使用要求安装DICOM3.0高速打印软件，确保信息无损输出</w:t>
      </w:r>
    </w:p>
    <w:p w14:paraId="0AA893C3">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11.7电源电压：AC100-240V 50Hz/60Hz自动切换</w:t>
      </w:r>
    </w:p>
    <w:p w14:paraId="3182DB1C">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11.8运行环境：温度5℃～35℃，湿度：35%～80%无结露</w:t>
      </w:r>
    </w:p>
    <w:p w14:paraId="7AB0EA6B">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11.9接口：USB 2.0或更高版本</w:t>
      </w:r>
    </w:p>
    <w:p w14:paraId="7C6AE9B9">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11.10存储器: ≥32MB</w:t>
      </w:r>
    </w:p>
    <w:p w14:paraId="06DB739E">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11.11打印机驱动：至少包含Windows平台</w:t>
      </w:r>
    </w:p>
    <w:p w14:paraId="03174E03">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★（二）质量要求</w:t>
      </w:r>
    </w:p>
    <w:p w14:paraId="54F0B711">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1.供应商提供的产品应是全新、未开封的质量合格产品，产品必须随货提供清晰、有效的产品合格证明，并完全符合国家标准（行业标准、企业标准等）和采购文件规定的质量和技术要求。</w:t>
      </w:r>
    </w:p>
    <w:p w14:paraId="767EE9E2">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2.质量保证期：产品保质期≥5年，供应商提供的产品剩余保质期不得少于产品保质期的三分之二，以产品包装标识的生产日期（保质期）为准并从验收之日起计算，质保期内出现的质量问题由供应商无条件更换。</w:t>
      </w:r>
    </w:p>
    <w:p w14:paraId="2169F33E">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3.供应商应保证货物到达采购人所在地完好无损，如有缺漏、损坏，由供应商负责补齐或更换。</w:t>
      </w:r>
    </w:p>
    <w:p w14:paraId="5D49ECB3">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4.采购人有权对产品进行验收，当验收结果未达到采购文件规定标准时，采购人有权要求供应商无条件更换不合格产品直至符合要求。因更换产生的所有费用和延误损失由供应商承担。</w:t>
      </w:r>
    </w:p>
    <w:p w14:paraId="2FC1970E">
      <w:pPr>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5.若产品在使用过程中存在质量问题、不满足使用需求的，供应商应及时无条件更换满足采购人使用需求的产品。</w:t>
      </w:r>
    </w:p>
    <w:p w14:paraId="2F463253">
      <w:pPr>
        <w:rPr>
          <w:rFonts w:hint="default" w:ascii="仿宋" w:hAnsi="仿宋" w:eastAsia="仿宋" w:cs="仿宋"/>
          <w:b/>
          <w:sz w:val="28"/>
          <w:lang w:val="en-US" w:eastAsia="zh-Hans" w:bidi="ar-SA"/>
        </w:rPr>
      </w:pPr>
    </w:p>
    <w:p w14:paraId="68861E0D">
      <w:pPr>
        <w:spacing w:line="480" w:lineRule="auto"/>
        <w:outlineLvl w:val="1"/>
        <w:rPr>
          <w:rFonts w:ascii="仿宋" w:hAnsi="仿宋" w:eastAsia="仿宋" w:cs="仿宋"/>
          <w:b/>
          <w:bCs/>
          <w:color w:val="000000"/>
          <w:sz w:val="28"/>
          <w:szCs w:val="28"/>
        </w:rPr>
      </w:pPr>
      <w:r>
        <w:rPr>
          <w:rFonts w:hint="eastAsia" w:eastAsia="仿宋"/>
          <w:b/>
          <w:bCs/>
          <w:sz w:val="22"/>
          <w:szCs w:val="22"/>
        </w:rPr>
        <w:t>★</w:t>
      </w:r>
      <w:r>
        <w:rPr>
          <w:rFonts w:hint="eastAsia" w:ascii="仿宋" w:hAnsi="仿宋" w:eastAsia="仿宋" w:cs="仿宋"/>
          <w:b/>
          <w:sz w:val="28"/>
        </w:rPr>
        <w:t>3.3.商务要求</w:t>
      </w:r>
    </w:p>
    <w:p w14:paraId="1E055F8C">
      <w:pPr>
        <w:spacing w:line="480" w:lineRule="auto"/>
        <w:rPr>
          <w:rFonts w:ascii="仿宋" w:hAnsi="仿宋" w:eastAsia="仿宋" w:cs="仿宋"/>
          <w:b/>
          <w:bCs/>
          <w:color w:val="000000"/>
          <w:sz w:val="24"/>
        </w:rPr>
      </w:pPr>
      <w:r>
        <w:rPr>
          <w:rFonts w:hint="eastAsia" w:ascii="仿宋" w:hAnsi="仿宋" w:eastAsia="仿宋" w:cs="仿宋"/>
          <w:b/>
          <w:sz w:val="28"/>
        </w:rPr>
        <w:t>一、商务要求</w:t>
      </w:r>
      <w:r>
        <w:rPr>
          <w:rFonts w:hint="eastAsia" w:ascii="仿宋" w:hAnsi="仿宋" w:eastAsia="仿宋" w:cs="仿宋"/>
          <w:b/>
          <w:bCs/>
          <w:color w:val="000000"/>
          <w:sz w:val="28"/>
          <w:szCs w:val="28"/>
        </w:rPr>
        <w:t>：</w:t>
      </w:r>
    </w:p>
    <w:p w14:paraId="7502B132">
      <w:pPr>
        <w:ind w:firstLine="440" w:firstLineChars="200"/>
        <w:jc w:val="left"/>
        <w:textAlignment w:val="center"/>
        <w:rPr>
          <w:rFonts w:ascii="仿宋" w:hAnsi="仿宋" w:eastAsia="仿宋" w:cs="仿宋"/>
          <w:color w:val="000000"/>
          <w:kern w:val="0"/>
          <w:sz w:val="22"/>
          <w:szCs w:val="22"/>
          <w:lang w:bidi="ar"/>
        </w:rPr>
      </w:pPr>
      <w:bookmarkStart w:id="1" w:name="OLE_LINK23"/>
      <w:r>
        <w:rPr>
          <w:rFonts w:hint="eastAsia" w:ascii="仿宋" w:hAnsi="仿宋" w:eastAsia="仿宋" w:cs="仿宋"/>
          <w:color w:val="000000"/>
          <w:kern w:val="0"/>
          <w:sz w:val="22"/>
          <w:szCs w:val="22"/>
          <w:lang w:bidi="ar"/>
        </w:rPr>
        <w:t xml:space="preserve">（一）交货期限：每批次常规需求在5个工作日内交货，紧急需求在1个工作日内交货，全部产品自合同签订生效之日起一年内。 </w:t>
      </w:r>
    </w:p>
    <w:p w14:paraId="7E3B1442">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（二）交货地点：内江市第一人民医院</w:t>
      </w:r>
      <w:r>
        <w:rPr>
          <w:rFonts w:hint="eastAsia" w:ascii="仿宋" w:hAnsi="仿宋" w:eastAsia="仿宋" w:cs="仿宋"/>
          <w:color w:val="000000"/>
          <w:kern w:val="0"/>
          <w:sz w:val="22"/>
          <w:szCs w:val="22"/>
          <w:lang w:eastAsia="zh-CN" w:bidi="ar"/>
        </w:rPr>
        <w:t>院区内</w:t>
      </w:r>
      <w:r>
        <w:rPr>
          <w:rFonts w:hint="eastAsia" w:ascii="仿宋" w:hAnsi="仿宋" w:eastAsia="仿宋" w:cs="仿宋"/>
          <w:color w:val="000000"/>
          <w:kern w:val="0"/>
          <w:sz w:val="22"/>
          <w:szCs w:val="22"/>
          <w:lang w:bidi="ar"/>
        </w:rPr>
        <w:t>。</w:t>
      </w:r>
    </w:p>
    <w:p w14:paraId="43C97BC3">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（三）结算及支付方式：</w:t>
      </w:r>
      <w:bookmarkStart w:id="2" w:name="OLE_LINK5"/>
      <w:r>
        <w:rPr>
          <w:rFonts w:hint="eastAsia" w:ascii="仿宋" w:hAnsi="仿宋" w:eastAsia="仿宋" w:cs="仿宋"/>
          <w:color w:val="000000"/>
          <w:kern w:val="0"/>
          <w:sz w:val="22"/>
          <w:szCs w:val="22"/>
          <w:lang w:bidi="ar"/>
        </w:rPr>
        <w:t>采购人每月根据供应商实际配送的产品数量结合产品成交单价以及应支付的违约金（如有）进行据实结算，每月供应商接到采购人通知之日起5个工作日内将结算金额等额合法有效的增值税发票和对应批次的货物明细清单提供至采购人处，采购人按财务支付规定支付。</w:t>
      </w:r>
      <w:bookmarkEnd w:id="2"/>
      <w:r>
        <w:rPr>
          <w:rFonts w:hint="eastAsia" w:ascii="仿宋" w:hAnsi="仿宋" w:eastAsia="仿宋" w:cs="仿宋"/>
          <w:color w:val="000000"/>
          <w:kern w:val="0"/>
          <w:sz w:val="22"/>
          <w:szCs w:val="22"/>
          <w:lang w:bidi="ar"/>
        </w:rPr>
        <w:t>供应商未能按照约定提供正规发票和有关单据的，采购人有权拒绝支付相应款项且不视为采购人违约。</w:t>
      </w:r>
    </w:p>
    <w:p w14:paraId="1C35C342">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（四）报价要求：</w:t>
      </w:r>
    </w:p>
    <w:p w14:paraId="3C4EE90A">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本项目报价包括但不限于：产品成本、税费、利润、包装、运输、安装、人工、差旅、保险、质保期售后、采购代理服务费等完成本项目的一切费用，采购人不再额外支付其他任何费用。</w:t>
      </w:r>
    </w:p>
    <w:p w14:paraId="3A7747D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（五）配套专用打印机的提供及维修和更换由供应商全权负责，费用包含在项目报价之内，采购人不承担任何费用。</w:t>
      </w:r>
    </w:p>
    <w:p w14:paraId="4AF6D46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w:t>
      </w:r>
      <w:r>
        <w:rPr>
          <w:rFonts w:hint="eastAsia" w:ascii="仿宋" w:hAnsi="仿宋" w:eastAsia="仿宋" w:cs="仿宋"/>
          <w:color w:val="000000"/>
          <w:kern w:val="0"/>
          <w:sz w:val="22"/>
          <w:szCs w:val="22"/>
          <w:lang w:eastAsia="zh-CN" w:bidi="ar"/>
        </w:rPr>
        <w:t>六</w:t>
      </w:r>
      <w:r>
        <w:rPr>
          <w:rFonts w:hint="eastAsia" w:ascii="仿宋" w:hAnsi="仿宋" w:eastAsia="仿宋" w:cs="仿宋"/>
          <w:color w:val="000000"/>
          <w:kern w:val="0"/>
          <w:sz w:val="22"/>
          <w:szCs w:val="22"/>
          <w:lang w:bidi="ar"/>
        </w:rPr>
        <w:t>）供应商应保证所提供的产品均不会侵犯任何第三方的知识产权，且权属清楚。如因此与第三人发生争议、诉讼或仲裁案件，由供应商承担全部责任，并负责赔偿采购人由此而遭受的全部损失。</w:t>
      </w:r>
    </w:p>
    <w:bookmarkEnd w:id="1"/>
    <w:p w14:paraId="21377DA5">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w:t>
      </w:r>
      <w:r>
        <w:rPr>
          <w:rFonts w:hint="eastAsia" w:ascii="仿宋" w:hAnsi="仿宋" w:eastAsia="仿宋" w:cs="仿宋"/>
          <w:color w:val="000000"/>
          <w:kern w:val="0"/>
          <w:sz w:val="22"/>
          <w:szCs w:val="22"/>
          <w:lang w:eastAsia="zh-CN" w:bidi="ar"/>
        </w:rPr>
        <w:t>七</w:t>
      </w:r>
      <w:r>
        <w:rPr>
          <w:rFonts w:hint="eastAsia" w:ascii="仿宋" w:hAnsi="仿宋" w:eastAsia="仿宋" w:cs="仿宋"/>
          <w:color w:val="000000"/>
          <w:kern w:val="0"/>
          <w:sz w:val="22"/>
          <w:szCs w:val="22"/>
          <w:lang w:bidi="ar"/>
        </w:rPr>
        <w:t>）缔约过失责任</w:t>
      </w:r>
    </w:p>
    <w:p w14:paraId="375F9904">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1.供应商成交后无正当理由未能在规定时间内与采购人签订合同的，需向采购人支付本项目采购预算的 30%作为赔偿金。赔偿金不足以弥补采购人全部损失的，还应赔偿采购人全部损失。</w:t>
      </w:r>
    </w:p>
    <w:p w14:paraId="1BA4082C">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2.若成交供应商提交的投标(响应)文件存在虚假材料或虚假响应的情况，成交供应商应向采购人支付本项目预算金额30%的赔偿金。</w:t>
      </w:r>
    </w:p>
    <w:p w14:paraId="452A78E3">
      <w:pPr>
        <w:ind w:firstLine="440" w:firstLineChars="200"/>
        <w:jc w:val="left"/>
        <w:textAlignment w:val="center"/>
        <w:rPr>
          <w:rFonts w:ascii="仿宋" w:hAnsi="仿宋" w:eastAsia="仿宋" w:cs="仿宋"/>
          <w:b/>
          <w:bCs/>
          <w:sz w:val="24"/>
        </w:rPr>
      </w:pPr>
      <w:r>
        <w:rPr>
          <w:rFonts w:hint="eastAsia" w:ascii="仿宋" w:hAnsi="仿宋" w:eastAsia="仿宋" w:cs="仿宋"/>
          <w:color w:val="000000"/>
          <w:kern w:val="0"/>
          <w:sz w:val="22"/>
          <w:szCs w:val="22"/>
          <w:lang w:bidi="ar"/>
        </w:rPr>
        <w:t>（</w:t>
      </w:r>
      <w:r>
        <w:rPr>
          <w:rFonts w:hint="eastAsia" w:ascii="仿宋" w:hAnsi="仿宋" w:eastAsia="仿宋" w:cs="仿宋"/>
          <w:color w:val="000000"/>
          <w:kern w:val="0"/>
          <w:sz w:val="22"/>
          <w:szCs w:val="22"/>
          <w:lang w:eastAsia="zh-CN" w:bidi="ar"/>
        </w:rPr>
        <w:t>八</w:t>
      </w:r>
      <w:r>
        <w:rPr>
          <w:rFonts w:hint="eastAsia" w:ascii="仿宋" w:hAnsi="仿宋" w:eastAsia="仿宋" w:cs="仿宋"/>
          <w:color w:val="000000"/>
          <w:kern w:val="0"/>
          <w:sz w:val="22"/>
          <w:szCs w:val="22"/>
          <w:lang w:bidi="ar"/>
        </w:rPr>
        <w:t>）供应商在履约期间，应当遵守国家和采购人的安全生产等规章制度，应做好安全、环保等预防措施，因供应商原因造成的一切人身财产损失等均由供应商承担全部责任，采购人不承担任何责任。</w:t>
      </w:r>
      <w:r>
        <w:rPr>
          <w:rFonts w:hint="eastAsia" w:ascii="仿宋" w:hAnsi="仿宋" w:eastAsia="仿宋" w:cs="仿宋"/>
          <w:b/>
          <w:bCs/>
          <w:color w:val="000000"/>
          <w:kern w:val="0"/>
          <w:sz w:val="22"/>
          <w:szCs w:val="22"/>
          <w:lang w:bidi="ar"/>
        </w:rPr>
        <w:t>（供应商须在响应文件中提供承诺函，格式自拟，并加盖供应商公章）</w:t>
      </w:r>
    </w:p>
    <w:p w14:paraId="7AD7A9EC">
      <w:pPr>
        <w:outlineLvl w:val="1"/>
        <w:rPr>
          <w:rFonts w:hint="default" w:ascii="仿宋" w:hAnsi="仿宋" w:eastAsia="仿宋" w:cs="仿宋"/>
          <w:lang w:val="en-US" w:eastAsia="zh-Hans" w:bidi="ar-SA"/>
        </w:rPr>
      </w:pPr>
      <w:r>
        <w:rPr>
          <w:rFonts w:hint="eastAsia" w:ascii="仿宋" w:hAnsi="仿宋" w:eastAsia="仿宋" w:cs="仿宋"/>
          <w:b/>
          <w:sz w:val="28"/>
          <w:lang w:val="en-US" w:eastAsia="zh-CN" w:bidi="ar-SA"/>
        </w:rPr>
        <w:t>★</w:t>
      </w:r>
      <w:r>
        <w:rPr>
          <w:rFonts w:hint="eastAsia" w:ascii="仿宋" w:hAnsi="仿宋" w:eastAsia="仿宋" w:cs="仿宋"/>
          <w:b/>
          <w:sz w:val="28"/>
          <w:lang w:val="en-US" w:eastAsia="zh-Hans" w:bidi="ar-SA"/>
        </w:rPr>
        <w:t>3.4.其他要求</w:t>
      </w:r>
    </w:p>
    <w:p w14:paraId="64488321">
      <w:pPr>
        <w:ind w:firstLine="482"/>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1.</w:t>
      </w:r>
      <w:r>
        <w:rPr>
          <w:rFonts w:hint="default" w:ascii="仿宋" w:hAnsi="仿宋" w:eastAsia="仿宋" w:cs="仿宋"/>
          <w:b/>
          <w:bCs/>
          <w:sz w:val="24"/>
          <w:szCs w:val="24"/>
          <w:lang w:val="en-US" w:eastAsia="zh-CN" w:bidi="ar-SA"/>
        </w:rPr>
        <w:t>违约责任与解决争议的方法：</w:t>
      </w:r>
    </w:p>
    <w:p w14:paraId="71EF485E">
      <w:pPr>
        <w:ind w:firstLine="482"/>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1.1违约责任</w:t>
      </w:r>
    </w:p>
    <w:p w14:paraId="64D09E7E">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（1）供应商不能按时提供采购人所需产品的，每逾期1日，应向采购人支付合同总价1‰的违约金。</w:t>
      </w:r>
    </w:p>
    <w:p w14:paraId="694B2552">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（2）供应商逾期15日不能交付以上产品的，视同不能供货，应向采购人支付合同总价的10%的违约金，同时采购人有权单方面解除合同。</w:t>
      </w:r>
    </w:p>
    <w:p w14:paraId="2E1C4562">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3）供应商销售的产品被国家认可的质量检测机构检测为不合格产品的，视为供应商违约导致不能实现本合同目的，采购人有权单方面解除合同，可要求供应商限期收回不合格产品，并要求供应商承担合同价款20%的违约金，违约金不足以弥补损失的，供应商还应当承担损失赔偿责任。即使产品已经验收入库后，采购人才发现产品为不合格产品的，也视为供应商违约，供应商应当承担本条约定的责任。</w:t>
      </w:r>
    </w:p>
    <w:p w14:paraId="755580EA">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（4）因供应商提供的产品质量不合格造成采购人或第三人人身损害或财产损失的，由供应商承担赔偿责任。</w:t>
      </w:r>
    </w:p>
    <w:p w14:paraId="273748E9">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5）合同生效后，双方均应全面履行合同约定的义务。任何一方不履行或不完全履行本合同约定义务的，应当承担相应的违约责任，并赔偿由此给守约方造成的损失，包括但不限于守约方为实现债权而支付的律师费、保全费、诉讼费、公证费、鉴定费等。</w:t>
      </w:r>
    </w:p>
    <w:p w14:paraId="6295FA5D">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（6）供应商拒不提供货物或不履行其主要合同义务的，构成根本性违约，应当向采购人支付合同总金额30%的违约金，同时采购人有权单方面解除合同。</w:t>
      </w:r>
    </w:p>
    <w:p w14:paraId="4A2C2F75">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（7）供应商擅自变更、中止、终止、解除合同的，</w:t>
      </w:r>
      <w:bookmarkStart w:id="3" w:name="_GoBack"/>
      <w:bookmarkEnd w:id="3"/>
      <w:r>
        <w:rPr>
          <w:rFonts w:hint="eastAsia" w:ascii="仿宋" w:hAnsi="仿宋" w:eastAsia="仿宋" w:cs="仿宋"/>
          <w:color w:val="000000"/>
          <w:sz w:val="22"/>
          <w:szCs w:val="22"/>
          <w:lang w:val="en-US" w:eastAsia="zh-CN" w:bidi="ar"/>
        </w:rPr>
        <w:t>应按合同总金额30%向采购人支付违约金，同时采购人有权单方解除合同。</w:t>
      </w:r>
    </w:p>
    <w:p w14:paraId="1A2DC8A3">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（8）若采购人单方面解除合同的，则自解除通知到达供应商时，合同即告解除。</w:t>
      </w:r>
    </w:p>
    <w:p w14:paraId="0AB193CD">
      <w:pPr>
        <w:ind w:firstLine="482"/>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1.2解决争议的方法</w:t>
      </w:r>
    </w:p>
    <w:p w14:paraId="53767F1F">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（1）因提供的产品质量问题发生的争议，由国家认可的质量鉴定机构进行质量鉴定。产品符合标准的，鉴定费由采购人承担；产品不符合质量标准的，鉴定费由供应商承担。</w:t>
      </w:r>
    </w:p>
    <w:p w14:paraId="310192FE">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（2）合同履行期间，若双方发生争议，可协商或由有关部门调解解决，协商或调解不成的，可以向采购人所在地人民法院依法提起诉讼。</w:t>
      </w:r>
    </w:p>
    <w:p w14:paraId="54B8EA89">
      <w:pPr>
        <w:ind w:firstLine="482"/>
        <w:rPr>
          <w:rFonts w:hint="default" w:ascii="仿宋" w:hAnsi="仿宋" w:eastAsia="仿宋" w:cs="仿宋"/>
          <w:color w:val="000000"/>
          <w:sz w:val="22"/>
          <w:szCs w:val="22"/>
          <w:lang w:val="en-US" w:eastAsia="zh-CN" w:bidi="ar"/>
        </w:rPr>
      </w:pPr>
      <w:r>
        <w:rPr>
          <w:rFonts w:hint="eastAsia" w:ascii="仿宋" w:hAnsi="仿宋" w:eastAsia="仿宋" w:cs="仿宋"/>
          <w:color w:val="000000"/>
          <w:sz w:val="22"/>
          <w:szCs w:val="22"/>
          <w:lang w:val="en-US" w:eastAsia="zh-CN" w:bidi="ar"/>
        </w:rPr>
        <w:t>（3）在诉讼期间，除正在进行诉讼部分外，合同其他部分继续执行。</w:t>
      </w:r>
    </w:p>
    <w:p w14:paraId="0DBEE268">
      <w:pPr>
        <w:ind w:firstLine="480"/>
        <w:rPr>
          <w:rFonts w:hint="default" w:ascii="Times New Roman" w:hAnsi="Times New Roman" w:eastAsia="仿宋" w:cs="Times New Roman"/>
          <w:sz w:val="24"/>
          <w:szCs w:val="24"/>
          <w:highlight w:val="yellow"/>
          <w:lang w:val="en-US" w:eastAsia="zh-CN" w:bidi="ar-SA"/>
        </w:rPr>
      </w:pPr>
      <w:r>
        <w:rPr>
          <w:rFonts w:hint="eastAsia" w:ascii="仿宋" w:hAnsi="仿宋" w:eastAsia="仿宋" w:cs="仿宋"/>
          <w:b/>
          <w:bCs/>
          <w:sz w:val="24"/>
          <w:szCs w:val="24"/>
          <w:lang w:val="en-US" w:eastAsia="zh-CN" w:bidi="ar-SA"/>
        </w:rPr>
        <w:t>2.</w:t>
      </w:r>
      <w:r>
        <w:rPr>
          <w:rFonts w:hint="default" w:ascii="Times New Roman" w:hAnsi="Times New Roman" w:eastAsia="仿宋" w:cs="Times New Roman"/>
          <w:b/>
          <w:bCs/>
          <w:sz w:val="24"/>
          <w:szCs w:val="24"/>
          <w:lang w:val="en-US" w:eastAsia="zh-Hans" w:bidi="ar-SA"/>
        </w:rPr>
        <w:t>履行期限</w:t>
      </w:r>
      <w:r>
        <w:rPr>
          <w:rFonts w:hint="eastAsia" w:ascii="Times New Roman" w:hAnsi="Times New Roman" w:eastAsia="仿宋" w:cs="Times New Roman"/>
          <w:b/>
          <w:bCs/>
          <w:sz w:val="24"/>
          <w:szCs w:val="24"/>
          <w:lang w:val="en-US" w:eastAsia="zh-CN" w:bidi="ar-SA"/>
        </w:rPr>
        <w:t>：</w:t>
      </w:r>
      <w:r>
        <w:rPr>
          <w:rFonts w:hint="eastAsia" w:ascii="仿宋" w:hAnsi="仿宋" w:eastAsia="仿宋" w:cs="仿宋"/>
          <w:color w:val="000000"/>
          <w:sz w:val="22"/>
          <w:szCs w:val="22"/>
          <w:highlight w:val="yellow"/>
          <w:lang w:val="en-US" w:eastAsia="zh-CN" w:bidi="ar"/>
        </w:rPr>
        <w:t>1年；</w:t>
      </w:r>
    </w:p>
    <w:p w14:paraId="205D57EE">
      <w:pPr>
        <w:ind w:firstLine="480"/>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3.</w:t>
      </w:r>
      <w:r>
        <w:rPr>
          <w:rFonts w:hint="default" w:ascii="仿宋" w:hAnsi="仿宋" w:eastAsia="仿宋" w:cs="仿宋"/>
          <w:b/>
          <w:bCs/>
          <w:sz w:val="24"/>
          <w:szCs w:val="24"/>
          <w:lang w:val="en-US" w:eastAsia="zh-CN" w:bidi="ar-SA"/>
        </w:rPr>
        <w:t>履约验收程序</w:t>
      </w:r>
      <w:r>
        <w:rPr>
          <w:rFonts w:hint="eastAsia" w:ascii="仿宋" w:hAnsi="仿宋" w:eastAsia="仿宋" w:cs="仿宋"/>
          <w:b/>
          <w:bCs/>
          <w:sz w:val="24"/>
          <w:szCs w:val="24"/>
          <w:lang w:val="en-US" w:eastAsia="zh-CN" w:bidi="ar-SA"/>
        </w:rPr>
        <w:t>：</w:t>
      </w:r>
      <w:r>
        <w:rPr>
          <w:rFonts w:hint="eastAsia" w:ascii="仿宋" w:hAnsi="仿宋" w:eastAsia="仿宋" w:cs="仿宋"/>
          <w:color w:val="000000"/>
          <w:sz w:val="22"/>
          <w:szCs w:val="22"/>
          <w:lang w:val="en-US" w:eastAsia="zh-CN" w:bidi="ar"/>
        </w:rPr>
        <w:t>分批次验收。</w:t>
      </w:r>
    </w:p>
    <w:p w14:paraId="70A1D823">
      <w:pPr>
        <w:rPr>
          <w:rFonts w:hint="eastAsia"/>
        </w:rPr>
      </w:pPr>
      <w:r>
        <w:rPr>
          <w:rFonts w:hint="eastAsia" w:ascii="仿宋" w:hAnsi="仿宋" w:eastAsia="仿宋" w:cs="仿宋"/>
          <w:b/>
          <w:bCs/>
          <w:sz w:val="24"/>
          <w:szCs w:val="24"/>
          <w:lang w:val="en-US" w:eastAsia="zh-CN" w:bidi="ar-SA"/>
        </w:rPr>
        <w:t>4.</w:t>
      </w:r>
      <w:r>
        <w:rPr>
          <w:rFonts w:hint="default" w:ascii="仿宋" w:hAnsi="仿宋" w:eastAsia="仿宋" w:cs="仿宋"/>
          <w:b/>
          <w:bCs/>
          <w:sz w:val="24"/>
          <w:szCs w:val="24"/>
          <w:lang w:val="en-US" w:eastAsia="zh-CN" w:bidi="ar-SA"/>
        </w:rPr>
        <w:t>履约验收时间：</w:t>
      </w:r>
      <w:r>
        <w:rPr>
          <w:rFonts w:hint="default" w:ascii="仿宋" w:hAnsi="仿宋" w:eastAsia="仿宋" w:cs="仿宋"/>
          <w:color w:val="000000"/>
          <w:sz w:val="22"/>
          <w:szCs w:val="22"/>
          <w:lang w:val="en-US" w:eastAsia="zh-CN" w:bidi="ar"/>
        </w:rPr>
        <w:t>合同期限内，根据</w:t>
      </w:r>
      <w:r>
        <w:rPr>
          <w:rFonts w:hint="eastAsia" w:ascii="仿宋" w:hAnsi="仿宋" w:eastAsia="仿宋" w:cs="仿宋"/>
          <w:color w:val="000000"/>
          <w:sz w:val="22"/>
          <w:szCs w:val="22"/>
          <w:lang w:val="en-US" w:eastAsia="zh-CN" w:bidi="ar"/>
        </w:rPr>
        <w:t>采购人</w:t>
      </w:r>
      <w:r>
        <w:rPr>
          <w:rFonts w:hint="default" w:ascii="仿宋" w:hAnsi="仿宋" w:eastAsia="仿宋" w:cs="仿宋"/>
          <w:color w:val="000000"/>
          <w:sz w:val="22"/>
          <w:szCs w:val="22"/>
          <w:lang w:val="en-US" w:eastAsia="zh-CN" w:bidi="ar"/>
        </w:rPr>
        <w:t>要求分批次送货，完成送货、验收入库视为验收完成</w:t>
      </w:r>
      <w:r>
        <w:rPr>
          <w:rFonts w:hint="eastAsia" w:ascii="仿宋" w:hAnsi="仿宋" w:eastAsia="仿宋" w:cs="仿宋"/>
          <w:color w:val="000000"/>
          <w:sz w:val="22"/>
          <w:szCs w:val="22"/>
          <w:lang w:val="en-US" w:eastAsia="zh-CN" w:bidi="ar"/>
        </w:rPr>
        <w:t>。</w:t>
      </w:r>
      <w:r>
        <w:rPr>
          <w:rFonts w:hint="eastAsia" w:ascii="仿宋" w:hAnsi="仿宋" w:eastAsia="仿宋" w:cs="仿宋"/>
          <w:color w:val="000000"/>
          <w:sz w:val="22"/>
          <w:szCs w:val="22"/>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16B2"/>
    <w:rsid w:val="077F66F5"/>
    <w:rsid w:val="0AE20369"/>
    <w:rsid w:val="0FBE6E80"/>
    <w:rsid w:val="108B406B"/>
    <w:rsid w:val="17E8357A"/>
    <w:rsid w:val="1ACE595C"/>
    <w:rsid w:val="1D6E72C9"/>
    <w:rsid w:val="2D666B35"/>
    <w:rsid w:val="2DD262C3"/>
    <w:rsid w:val="312E4E5B"/>
    <w:rsid w:val="3605102C"/>
    <w:rsid w:val="368372FD"/>
    <w:rsid w:val="3E441D93"/>
    <w:rsid w:val="4EE35A4E"/>
    <w:rsid w:val="55DA3FC2"/>
    <w:rsid w:val="5D2D4643"/>
    <w:rsid w:val="6B3117C7"/>
    <w:rsid w:val="6E682869"/>
    <w:rsid w:val="716442F4"/>
    <w:rsid w:val="71D01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4603</Words>
  <Characters>4756</Characters>
  <Lines>0</Lines>
  <Paragraphs>0</Paragraphs>
  <TotalTime>0</TotalTime>
  <ScaleCrop>false</ScaleCrop>
  <LinksUpToDate>false</LinksUpToDate>
  <CharactersWithSpaces>4767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2026-06-08T01:07:34Z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eyJoZGlkIjoiZmU5MzkzNmZjMzc3NWFhY2FhNzA2NjQ0ZDdjMjMwZDYiLCJ1c2VySWQiOiI0ODI5Njk1NDgifQ==</vt:lpwstr>
  </property>
  <property fmtid="{D5CDD505-2E9C-101B-9397-08002B2CF9AE}" pid="4" name="ICV">
    <vt:lpwstr>C5B7C8CBB9774CFEB3B6A5951A74B4A9_12</vt:lpwstr>
  </property>
</Properties>
</file>