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1F6587">
      <w:pPr>
        <w:jc w:val="center"/>
        <w:outlineLvl w:val="0"/>
        <w:rPr>
          <w:rFonts w:hint="eastAsia" w:ascii="仿宋" w:hAnsi="仿宋" w:eastAsia="仿宋" w:cs="仿宋"/>
          <w:highlight w:val="none"/>
          <w:lang w:val="en-US" w:eastAsia="zh-Hans"/>
        </w:rPr>
      </w:pPr>
      <w:bookmarkStart w:id="1" w:name="_GoBack"/>
      <w:bookmarkEnd w:id="1"/>
      <w:bookmarkStart w:id="0" w:name="_Toc27801"/>
      <w:r>
        <w:rPr>
          <w:rFonts w:hint="eastAsia" w:ascii="仿宋" w:hAnsi="仿宋" w:eastAsia="仿宋" w:cs="仿宋"/>
          <w:b/>
          <w:sz w:val="36"/>
          <w:highlight w:val="none"/>
          <w:lang w:val="en-US" w:eastAsia="zh-Hans"/>
        </w:rPr>
        <w:t>第三章 技术、服务及其他要求</w:t>
      </w:r>
      <w:bookmarkEnd w:id="0"/>
    </w:p>
    <w:p w14:paraId="2DEACD6F">
      <w:pPr>
        <w:ind w:firstLine="480"/>
        <w:jc w:val="left"/>
        <w:rPr>
          <w:rFonts w:hint="eastAsia" w:ascii="仿宋" w:hAnsi="仿宋" w:eastAsia="仿宋" w:cs="仿宋"/>
          <w:highlight w:val="none"/>
          <w:lang w:val="en-US" w:eastAsia="zh-Hans"/>
        </w:rPr>
      </w:pPr>
      <w:r>
        <w:rPr>
          <w:rFonts w:hint="eastAsia" w:ascii="仿宋" w:hAnsi="仿宋" w:eastAsia="仿宋" w:cs="仿宋"/>
          <w:highlight w:val="none"/>
          <w:lang w:val="en-US" w:eastAsia="zh-Hans"/>
        </w:rPr>
        <w:t>（注：本章的技术、服务及其他要求中，带“★”的要求为实质性要求。</w:t>
      </w:r>
      <w:r>
        <w:rPr>
          <w:rFonts w:hint="eastAsia" w:ascii="仿宋" w:hAnsi="仿宋" w:eastAsia="仿宋" w:cs="仿宋"/>
          <w:highlight w:val="none"/>
          <w:lang w:val="en-US" w:eastAsia="zh-CN"/>
        </w:rPr>
        <w:t>采购人</w:t>
      </w:r>
      <w:r>
        <w:rPr>
          <w:rFonts w:hint="eastAsia" w:ascii="仿宋" w:hAnsi="仿宋" w:eastAsia="仿宋" w:cs="仿宋"/>
          <w:highlight w:val="none"/>
          <w:lang w:val="en-US" w:eastAsia="zh-Hans"/>
        </w:rPr>
        <w:t>、代理机构应当根据项目实际要求合理设定，并在第五章符合性审查中明确响应要求。）</w:t>
      </w:r>
    </w:p>
    <w:p w14:paraId="0956D39B">
      <w:pPr>
        <w:jc w:val="left"/>
        <w:outlineLvl w:val="1"/>
        <w:rPr>
          <w:rFonts w:hint="eastAsia" w:ascii="仿宋" w:hAnsi="仿宋" w:eastAsia="仿宋" w:cs="仿宋"/>
          <w:highlight w:val="none"/>
          <w:lang w:val="en-US" w:eastAsia="zh-CN"/>
        </w:rPr>
      </w:pPr>
      <w:r>
        <w:rPr>
          <w:rFonts w:hint="eastAsia" w:ascii="仿宋" w:hAnsi="仿宋" w:eastAsia="仿宋" w:cs="仿宋"/>
          <w:b/>
          <w:sz w:val="28"/>
          <w:highlight w:val="none"/>
          <w:lang w:val="en-US" w:eastAsia="zh-Hans"/>
        </w:rPr>
        <w:t>3.1.</w:t>
      </w:r>
      <w:r>
        <w:rPr>
          <w:rFonts w:hint="eastAsia" w:ascii="仿宋" w:hAnsi="仿宋" w:eastAsia="仿宋" w:cs="仿宋"/>
          <w:b/>
          <w:sz w:val="28"/>
          <w:highlight w:val="none"/>
          <w:lang w:val="en-US" w:eastAsia="zh-CN"/>
        </w:rPr>
        <w:t>标的情况</w:t>
      </w:r>
    </w:p>
    <w:p w14:paraId="6433728F">
      <w:pPr>
        <w:jc w:val="left"/>
        <w:outlineLvl w:val="2"/>
        <w:rPr>
          <w:rFonts w:hint="eastAsia" w:ascii="仿宋" w:hAnsi="仿宋" w:eastAsia="仿宋" w:cs="仿宋"/>
          <w:b/>
          <w:bCs/>
          <w:i w:val="0"/>
          <w:iCs w:val="0"/>
          <w:lang w:val="en-US" w:eastAsia="zh-Hans"/>
        </w:rPr>
      </w:pPr>
      <w:r>
        <w:rPr>
          <w:rFonts w:hint="eastAsia" w:ascii="仿宋" w:hAnsi="仿宋" w:eastAsia="仿宋" w:cs="仿宋"/>
          <w:b/>
          <w:bCs/>
          <w:i w:val="0"/>
          <w:iCs w:val="0"/>
          <w:sz w:val="24"/>
          <w:szCs w:val="24"/>
          <w:lang w:val="en-US" w:eastAsia="zh-Hans"/>
        </w:rPr>
        <w:t>采购包1：</w:t>
      </w:r>
    </w:p>
    <w:p w14:paraId="548524C4">
      <w:pPr>
        <w:ind w:firstLine="480"/>
        <w:jc w:val="left"/>
        <w:rPr>
          <w:rFonts w:hint="eastAsia" w:ascii="仿宋" w:hAnsi="仿宋" w:eastAsia="仿宋" w:cs="仿宋"/>
          <w:lang w:val="en-US" w:eastAsia="zh-Hans"/>
        </w:rPr>
      </w:pPr>
      <w:r>
        <w:rPr>
          <w:rFonts w:hint="eastAsia" w:ascii="仿宋" w:hAnsi="仿宋" w:eastAsia="仿宋" w:cs="仿宋"/>
          <w:lang w:val="en-US" w:eastAsia="zh-Hans"/>
        </w:rPr>
        <w:t>★</w:t>
      </w:r>
      <w:r>
        <w:rPr>
          <w:rFonts w:hint="eastAsia" w:ascii="仿宋" w:hAnsi="仿宋" w:eastAsia="仿宋" w:cs="仿宋"/>
          <w:lang w:val="en-US" w:eastAsia="zh-CN"/>
        </w:rPr>
        <w:t>本项目提供的产品，必须为“四川省药品和医用耗材招采管理系统”中已挂网产品（不含正在挂网和备案的产品）。</w:t>
      </w:r>
    </w:p>
    <w:tbl>
      <w:tblPr>
        <w:tblStyle w:val="3"/>
        <w:tblW w:w="4997"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26"/>
        <w:gridCol w:w="507"/>
        <w:gridCol w:w="2443"/>
        <w:gridCol w:w="1485"/>
        <w:gridCol w:w="1112"/>
        <w:gridCol w:w="1151"/>
        <w:gridCol w:w="1393"/>
      </w:tblGrid>
      <w:tr w14:paraId="7421BE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33" w:hRule="atLeast"/>
          <w:jc w:val="center"/>
        </w:trPr>
        <w:tc>
          <w:tcPr>
            <w:tcW w:w="250" w:type="pct"/>
            <w:vAlign w:val="center"/>
          </w:tcPr>
          <w:p w14:paraId="6E7E635E">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包号</w:t>
            </w:r>
          </w:p>
        </w:tc>
        <w:tc>
          <w:tcPr>
            <w:tcW w:w="298" w:type="pct"/>
            <w:vAlign w:val="center"/>
          </w:tcPr>
          <w:p w14:paraId="6117EBC3">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编号</w:t>
            </w:r>
          </w:p>
        </w:tc>
        <w:tc>
          <w:tcPr>
            <w:tcW w:w="1433" w:type="pct"/>
            <w:vAlign w:val="center"/>
          </w:tcPr>
          <w:p w14:paraId="66287A3E">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标的名称</w:t>
            </w:r>
          </w:p>
        </w:tc>
        <w:tc>
          <w:tcPr>
            <w:tcW w:w="871" w:type="pct"/>
            <w:vAlign w:val="center"/>
          </w:tcPr>
          <w:p w14:paraId="4E74D6AE">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★最高单价限价（元）</w:t>
            </w:r>
          </w:p>
        </w:tc>
        <w:tc>
          <w:tcPr>
            <w:tcW w:w="652" w:type="pct"/>
            <w:vAlign w:val="center"/>
          </w:tcPr>
          <w:p w14:paraId="751AFDA7">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使用数量</w:t>
            </w:r>
          </w:p>
        </w:tc>
        <w:tc>
          <w:tcPr>
            <w:tcW w:w="675" w:type="pct"/>
            <w:vAlign w:val="center"/>
          </w:tcPr>
          <w:p w14:paraId="674F697E">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计量单位</w:t>
            </w:r>
          </w:p>
        </w:tc>
        <w:tc>
          <w:tcPr>
            <w:tcW w:w="817" w:type="pct"/>
            <w:vAlign w:val="center"/>
          </w:tcPr>
          <w:p w14:paraId="2840F6EF">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项目最高限价（元）</w:t>
            </w:r>
          </w:p>
        </w:tc>
      </w:tr>
      <w:tr w14:paraId="5BDA74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50" w:type="pct"/>
            <w:vAlign w:val="center"/>
          </w:tcPr>
          <w:p w14:paraId="25EC6F0C">
            <w:pPr>
              <w:jc w:val="center"/>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1</w:t>
            </w:r>
          </w:p>
        </w:tc>
        <w:tc>
          <w:tcPr>
            <w:tcW w:w="298" w:type="pct"/>
            <w:vAlign w:val="center"/>
          </w:tcPr>
          <w:p w14:paraId="15BFF492">
            <w:pPr>
              <w:keepNext w:val="0"/>
              <w:keepLines w:val="0"/>
              <w:widowControl/>
              <w:suppressLineNumbers w:val="0"/>
              <w:jc w:val="center"/>
              <w:textAlignment w:val="center"/>
              <w:rPr>
                <w:rFonts w:hint="eastAsia" w:ascii="仿宋" w:hAnsi="仿宋" w:eastAsia="仿宋" w:cs="仿宋"/>
                <w:sz w:val="22"/>
                <w:szCs w:val="22"/>
                <w:lang w:val="en-US" w:eastAsia="zh-CN"/>
              </w:rPr>
            </w:pPr>
            <w:r>
              <w:rPr>
                <w:rFonts w:hint="eastAsia" w:ascii="仿宋" w:hAnsi="仿宋" w:eastAsia="仿宋" w:cs="仿宋"/>
                <w:i w:val="0"/>
                <w:iCs w:val="0"/>
                <w:color w:val="000000"/>
                <w:kern w:val="0"/>
                <w:sz w:val="21"/>
                <w:szCs w:val="21"/>
                <w:u w:val="none"/>
                <w:lang w:val="en-US" w:eastAsia="zh-CN" w:bidi="ar"/>
              </w:rPr>
              <w:t>1</w:t>
            </w:r>
          </w:p>
        </w:tc>
        <w:tc>
          <w:tcPr>
            <w:tcW w:w="1433" w:type="pct"/>
            <w:vAlign w:val="center"/>
          </w:tcPr>
          <w:p w14:paraId="793EB11C">
            <w:pPr>
              <w:keepNext w:val="0"/>
              <w:keepLines w:val="0"/>
              <w:widowControl/>
              <w:suppressLineNumbers w:val="0"/>
              <w:tabs>
                <w:tab w:val="center" w:pos="365"/>
                <w:tab w:val="left" w:pos="526"/>
              </w:tabs>
              <w:jc w:val="center"/>
              <w:textAlignment w:val="center"/>
              <w:rPr>
                <w:rFonts w:hint="default" w:ascii="仿宋" w:hAnsi="仿宋" w:eastAsia="仿宋" w:cs="仿宋"/>
                <w:sz w:val="24"/>
                <w:szCs w:val="32"/>
                <w:lang w:val="en-US" w:eastAsia="zh-CN"/>
              </w:rPr>
            </w:pPr>
            <w:r>
              <w:rPr>
                <w:rFonts w:hint="eastAsia" w:ascii="仿宋" w:hAnsi="仿宋" w:eastAsia="仿宋" w:cs="仿宋"/>
                <w:b w:val="0"/>
                <w:bCs w:val="0"/>
                <w:color w:val="auto"/>
                <w:sz w:val="20"/>
                <w:szCs w:val="20"/>
                <w:highlight w:val="none"/>
                <w:shd w:val="clear" w:color="auto" w:fill="auto"/>
                <w:lang w:val="en-US" w:eastAsia="zh-CN"/>
              </w:rPr>
              <w:t>牛心包心脏外科补片</w:t>
            </w:r>
          </w:p>
        </w:tc>
        <w:tc>
          <w:tcPr>
            <w:tcW w:w="871" w:type="pct"/>
            <w:vAlign w:val="center"/>
          </w:tcPr>
          <w:p w14:paraId="29B36708">
            <w:pPr>
              <w:keepNext w:val="0"/>
              <w:keepLines w:val="0"/>
              <w:widowControl/>
              <w:suppressLineNumbers w:val="0"/>
              <w:tabs>
                <w:tab w:val="center" w:pos="365"/>
                <w:tab w:val="left" w:pos="526"/>
              </w:tabs>
              <w:jc w:val="center"/>
              <w:textAlignment w:val="center"/>
              <w:rPr>
                <w:rFonts w:hint="default" w:ascii="仿宋" w:hAnsi="仿宋" w:eastAsia="仿宋" w:cs="仿宋"/>
                <w:sz w:val="24"/>
                <w:szCs w:val="32"/>
                <w:lang w:val="en-US" w:eastAsia="zh-CN"/>
              </w:rPr>
            </w:pPr>
            <w:r>
              <w:rPr>
                <w:rFonts w:hint="eastAsia" w:ascii="仿宋" w:hAnsi="仿宋" w:eastAsia="仿宋" w:cs="仿宋"/>
                <w:b w:val="0"/>
                <w:bCs w:val="0"/>
                <w:color w:val="auto"/>
                <w:sz w:val="20"/>
                <w:szCs w:val="20"/>
                <w:highlight w:val="none"/>
                <w:shd w:val="clear" w:color="auto" w:fill="auto"/>
                <w:lang w:val="en-US" w:eastAsia="zh-CN"/>
              </w:rPr>
              <w:t>9800</w:t>
            </w:r>
          </w:p>
        </w:tc>
        <w:tc>
          <w:tcPr>
            <w:tcW w:w="652" w:type="pct"/>
            <w:vAlign w:val="center"/>
          </w:tcPr>
          <w:p w14:paraId="3C5316A8">
            <w:pPr>
              <w:keepNext w:val="0"/>
              <w:keepLines w:val="0"/>
              <w:widowControl/>
              <w:suppressLineNumbers w:val="0"/>
              <w:tabs>
                <w:tab w:val="center" w:pos="365"/>
                <w:tab w:val="left" w:pos="526"/>
              </w:tabs>
              <w:jc w:val="center"/>
              <w:textAlignment w:val="center"/>
              <w:rPr>
                <w:rFonts w:hint="eastAsia" w:ascii="仿宋" w:hAnsi="仿宋" w:eastAsia="仿宋" w:cs="仿宋"/>
                <w:sz w:val="28"/>
                <w:szCs w:val="28"/>
                <w:highlight w:val="yellow"/>
                <w:lang w:val="en-US" w:eastAsia="zh-CN"/>
              </w:rPr>
            </w:pPr>
            <w:r>
              <w:rPr>
                <w:rFonts w:hint="eastAsia" w:ascii="仿宋" w:hAnsi="仿宋" w:eastAsia="仿宋" w:cs="仿宋"/>
                <w:b w:val="0"/>
                <w:bCs w:val="0"/>
                <w:color w:val="auto"/>
                <w:sz w:val="20"/>
                <w:szCs w:val="20"/>
                <w:highlight w:val="none"/>
                <w:shd w:val="clear" w:color="auto" w:fill="auto"/>
                <w:lang w:val="en-US" w:eastAsia="zh-CN"/>
              </w:rPr>
              <w:t>按计划</w:t>
            </w:r>
          </w:p>
        </w:tc>
        <w:tc>
          <w:tcPr>
            <w:tcW w:w="675" w:type="pct"/>
            <w:vAlign w:val="center"/>
          </w:tcPr>
          <w:p w14:paraId="19867364">
            <w:pPr>
              <w:keepNext w:val="0"/>
              <w:keepLines w:val="0"/>
              <w:widowControl/>
              <w:suppressLineNumbers w:val="0"/>
              <w:tabs>
                <w:tab w:val="center" w:pos="365"/>
                <w:tab w:val="left" w:pos="526"/>
              </w:tabs>
              <w:jc w:val="center"/>
              <w:textAlignment w:val="center"/>
              <w:rPr>
                <w:rFonts w:hint="eastAsia" w:ascii="仿宋" w:hAnsi="仿宋" w:eastAsia="仿宋" w:cs="仿宋"/>
                <w:sz w:val="24"/>
                <w:szCs w:val="32"/>
                <w:lang w:val="en-US" w:eastAsia="zh-CN"/>
              </w:rPr>
            </w:pPr>
            <w:r>
              <w:rPr>
                <w:rFonts w:hint="eastAsia" w:ascii="仿宋" w:hAnsi="仿宋" w:eastAsia="仿宋" w:cs="仿宋"/>
                <w:b w:val="0"/>
                <w:bCs w:val="0"/>
                <w:color w:val="auto"/>
                <w:sz w:val="20"/>
                <w:szCs w:val="20"/>
                <w:highlight w:val="none"/>
                <w:shd w:val="clear" w:color="auto" w:fill="auto"/>
                <w:lang w:val="en-US" w:eastAsia="zh-CN"/>
              </w:rPr>
              <w:t>片</w:t>
            </w:r>
          </w:p>
        </w:tc>
        <w:tc>
          <w:tcPr>
            <w:tcW w:w="817" w:type="pct"/>
            <w:vAlign w:val="center"/>
          </w:tcPr>
          <w:p w14:paraId="0715AE29">
            <w:pPr>
              <w:keepNext w:val="0"/>
              <w:keepLines w:val="0"/>
              <w:widowControl/>
              <w:suppressLineNumbers w:val="0"/>
              <w:tabs>
                <w:tab w:val="center" w:pos="365"/>
                <w:tab w:val="left" w:pos="526"/>
              </w:tabs>
              <w:jc w:val="center"/>
              <w:textAlignment w:val="center"/>
              <w:rPr>
                <w:rFonts w:hint="eastAsia" w:ascii="仿宋" w:hAnsi="仿宋" w:eastAsia="仿宋" w:cs="仿宋"/>
                <w:sz w:val="24"/>
                <w:szCs w:val="32"/>
                <w:lang w:val="en-US" w:eastAsia="zh-CN"/>
              </w:rPr>
            </w:pPr>
            <w:r>
              <w:rPr>
                <w:rFonts w:hint="eastAsia" w:ascii="仿宋" w:hAnsi="仿宋" w:eastAsia="仿宋" w:cs="仿宋"/>
                <w:b w:val="0"/>
                <w:bCs w:val="0"/>
                <w:color w:val="auto"/>
                <w:sz w:val="20"/>
                <w:szCs w:val="20"/>
                <w:highlight w:val="none"/>
                <w:shd w:val="clear" w:color="auto" w:fill="auto"/>
                <w:lang w:val="en-US" w:eastAsia="zh-CN"/>
              </w:rPr>
              <w:t>据实结算</w:t>
            </w:r>
          </w:p>
        </w:tc>
      </w:tr>
    </w:tbl>
    <w:p w14:paraId="3162FD7A">
      <w:pPr>
        <w:jc w:val="left"/>
        <w:rPr>
          <w:rFonts w:hint="eastAsia" w:ascii="仿宋" w:hAnsi="仿宋" w:eastAsia="仿宋" w:cs="仿宋"/>
          <w:lang w:val="en-US" w:eastAsia="zh-Hans"/>
        </w:rPr>
      </w:pPr>
    </w:p>
    <w:p w14:paraId="0F84F2DC">
      <w:pPr>
        <w:ind w:firstLine="480"/>
        <w:jc w:val="left"/>
        <w:rPr>
          <w:rFonts w:hint="eastAsia" w:ascii="仿宋" w:hAnsi="仿宋" w:eastAsia="仿宋" w:cs="仿宋"/>
          <w:lang w:val="en-US" w:eastAsia="zh-Hans"/>
        </w:rPr>
      </w:pPr>
      <w:r>
        <w:rPr>
          <w:rFonts w:hint="eastAsia" w:ascii="仿宋" w:hAnsi="仿宋" w:eastAsia="仿宋" w:cs="仿宋"/>
          <w:lang w:val="en-US" w:eastAsia="zh-Hans"/>
        </w:rPr>
        <w:t>★注：</w:t>
      </w:r>
      <w:r>
        <w:rPr>
          <w:rFonts w:hint="eastAsia" w:ascii="仿宋" w:hAnsi="仿宋" w:eastAsia="仿宋" w:cs="仿宋"/>
          <w:lang w:val="en-US" w:eastAsia="zh-CN"/>
        </w:rPr>
        <w:t>竞选人</w:t>
      </w:r>
      <w:r>
        <w:rPr>
          <w:rFonts w:hint="eastAsia" w:ascii="仿宋" w:hAnsi="仿宋" w:eastAsia="仿宋" w:cs="仿宋"/>
          <w:lang w:val="en-US" w:eastAsia="zh-Hans"/>
        </w:rPr>
        <w:t>响应产品应当明确品牌和规格型号并指向唯一产品，不能指向唯一产品的，应通过报价表唯一产品说明栏补充说明。</w:t>
      </w:r>
    </w:p>
    <w:p w14:paraId="20AFEE42">
      <w:pPr>
        <w:jc w:val="left"/>
        <w:rPr>
          <w:rFonts w:hint="eastAsia" w:ascii="仿宋" w:hAnsi="仿宋" w:eastAsia="仿宋" w:cs="仿宋"/>
          <w:lang w:val="en-US" w:eastAsia="zh-Hans"/>
        </w:rPr>
      </w:pPr>
    </w:p>
    <w:p w14:paraId="7DAB5E89">
      <w:pPr>
        <w:jc w:val="left"/>
        <w:outlineLvl w:val="1"/>
        <w:rPr>
          <w:rFonts w:hint="eastAsia" w:ascii="仿宋" w:hAnsi="仿宋" w:eastAsia="仿宋" w:cs="仿宋"/>
          <w:lang w:val="en-US" w:eastAsia="zh-CN"/>
        </w:rPr>
      </w:pPr>
      <w:r>
        <w:rPr>
          <w:rFonts w:hint="eastAsia" w:ascii="仿宋" w:hAnsi="仿宋" w:eastAsia="仿宋" w:cs="仿宋"/>
          <w:b/>
          <w:sz w:val="28"/>
          <w:lang w:val="en-US" w:eastAsia="zh-Hans"/>
        </w:rPr>
        <w:t>3.2.技术要求</w:t>
      </w:r>
    </w:p>
    <w:p w14:paraId="68464596">
      <w:pPr>
        <w:jc w:val="left"/>
        <w:outlineLvl w:val="2"/>
        <w:rPr>
          <w:rFonts w:hint="eastAsia" w:ascii="仿宋" w:hAnsi="仿宋" w:eastAsia="仿宋" w:cs="仿宋"/>
          <w:b/>
          <w:bCs/>
          <w:sz w:val="22"/>
          <w:szCs w:val="22"/>
          <w:lang w:val="en-US" w:eastAsia="zh-Hans"/>
        </w:rPr>
      </w:pPr>
      <w:r>
        <w:rPr>
          <w:rFonts w:hint="eastAsia" w:ascii="仿宋" w:hAnsi="仿宋" w:eastAsia="仿宋" w:cs="仿宋"/>
          <w:b/>
          <w:bCs/>
          <w:sz w:val="22"/>
          <w:szCs w:val="22"/>
          <w:lang w:val="en-US" w:eastAsia="zh-Hans"/>
        </w:rPr>
        <w:t>采购包1：</w:t>
      </w:r>
    </w:p>
    <w:tbl>
      <w:tblPr>
        <w:tblStyle w:val="4"/>
        <w:tblW w:w="86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6"/>
        <w:gridCol w:w="1377"/>
        <w:gridCol w:w="1500"/>
        <w:gridCol w:w="2893"/>
        <w:gridCol w:w="2174"/>
      </w:tblGrid>
      <w:tr w14:paraId="0BC6E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736" w:type="dxa"/>
            <w:noWrap w:val="0"/>
            <w:vAlign w:val="center"/>
          </w:tcPr>
          <w:p w14:paraId="16DCDFEF">
            <w:pPr>
              <w:numPr>
                <w:ilvl w:val="0"/>
                <w:numId w:val="0"/>
              </w:numPr>
              <w:spacing w:line="240" w:lineRule="auto"/>
              <w:jc w:val="center"/>
              <w:rPr>
                <w:rFonts w:hint="eastAsia" w:ascii="仿宋" w:hAnsi="仿宋" w:eastAsia="仿宋" w:cs="仿宋"/>
                <w:b/>
                <w:bCs/>
                <w:color w:val="auto"/>
                <w:sz w:val="22"/>
                <w:szCs w:val="22"/>
                <w:highlight w:val="none"/>
                <w:shd w:val="clear" w:color="auto" w:fill="auto"/>
                <w:vertAlign w:val="baseline"/>
                <w:lang w:val="en-US" w:eastAsia="zh-CN"/>
              </w:rPr>
            </w:pPr>
            <w:r>
              <w:rPr>
                <w:rFonts w:hint="eastAsia" w:ascii="仿宋" w:hAnsi="仿宋" w:eastAsia="仿宋" w:cs="仿宋"/>
                <w:b/>
                <w:bCs/>
                <w:color w:val="auto"/>
                <w:sz w:val="22"/>
                <w:szCs w:val="22"/>
                <w:highlight w:val="none"/>
                <w:shd w:val="clear" w:color="auto" w:fill="auto"/>
                <w:vertAlign w:val="baseline"/>
                <w:lang w:val="en-US" w:eastAsia="zh-CN"/>
              </w:rPr>
              <w:t>编号</w:t>
            </w:r>
          </w:p>
        </w:tc>
        <w:tc>
          <w:tcPr>
            <w:tcW w:w="1377" w:type="dxa"/>
            <w:noWrap w:val="0"/>
            <w:vAlign w:val="center"/>
          </w:tcPr>
          <w:p w14:paraId="21D29767">
            <w:pPr>
              <w:numPr>
                <w:ilvl w:val="0"/>
                <w:numId w:val="0"/>
              </w:numPr>
              <w:tabs>
                <w:tab w:val="left" w:pos="403"/>
              </w:tabs>
              <w:spacing w:line="240" w:lineRule="auto"/>
              <w:jc w:val="center"/>
              <w:rPr>
                <w:rFonts w:hint="eastAsia" w:ascii="仿宋" w:hAnsi="仿宋" w:eastAsia="仿宋" w:cs="仿宋"/>
                <w:b/>
                <w:bCs/>
                <w:color w:val="auto"/>
                <w:sz w:val="22"/>
                <w:szCs w:val="22"/>
                <w:highlight w:val="none"/>
                <w:shd w:val="clear" w:color="auto" w:fill="auto"/>
                <w:vertAlign w:val="baseline"/>
                <w:lang w:val="en-US" w:eastAsia="zh-CN"/>
              </w:rPr>
            </w:pPr>
            <w:r>
              <w:rPr>
                <w:rFonts w:hint="eastAsia" w:ascii="仿宋" w:hAnsi="仿宋" w:eastAsia="仿宋" w:cs="仿宋"/>
                <w:b/>
                <w:bCs/>
                <w:color w:val="auto"/>
                <w:sz w:val="22"/>
                <w:szCs w:val="22"/>
                <w:highlight w:val="none"/>
                <w:shd w:val="clear" w:color="auto" w:fill="auto"/>
                <w:vertAlign w:val="baseline"/>
                <w:lang w:val="en-US" w:eastAsia="zh-CN"/>
              </w:rPr>
              <w:t>标的名称</w:t>
            </w:r>
          </w:p>
        </w:tc>
        <w:tc>
          <w:tcPr>
            <w:tcW w:w="1500" w:type="dxa"/>
            <w:noWrap w:val="0"/>
            <w:vAlign w:val="center"/>
          </w:tcPr>
          <w:p w14:paraId="0EC39D51">
            <w:pPr>
              <w:keepNext w:val="0"/>
              <w:keepLines w:val="0"/>
              <w:widowControl/>
              <w:suppressLineNumbers w:val="0"/>
              <w:jc w:val="center"/>
              <w:textAlignment w:val="center"/>
              <w:rPr>
                <w:rFonts w:hint="eastAsia" w:ascii="仿宋" w:hAnsi="仿宋" w:eastAsia="仿宋" w:cs="仿宋"/>
                <w:b/>
                <w:bCs/>
                <w:color w:val="auto"/>
                <w:sz w:val="22"/>
                <w:szCs w:val="22"/>
                <w:highlight w:val="none"/>
                <w:shd w:val="clear" w:color="auto" w:fill="auto"/>
                <w:vertAlign w:val="baseline"/>
                <w:lang w:val="en-US" w:eastAsia="zh-CN"/>
              </w:rPr>
            </w:pPr>
            <w:r>
              <w:rPr>
                <w:rFonts w:hint="eastAsia" w:ascii="仿宋" w:hAnsi="仿宋" w:eastAsia="仿宋" w:cs="仿宋"/>
                <w:b/>
                <w:bCs/>
                <w:i w:val="0"/>
                <w:iCs w:val="0"/>
                <w:color w:val="000000"/>
                <w:kern w:val="0"/>
                <w:sz w:val="24"/>
                <w:szCs w:val="24"/>
                <w:u w:val="none"/>
                <w:lang w:val="en-US" w:eastAsia="zh-CN" w:bidi="ar"/>
              </w:rPr>
              <w:t>医保耗材代码</w:t>
            </w:r>
          </w:p>
        </w:tc>
        <w:tc>
          <w:tcPr>
            <w:tcW w:w="2893" w:type="dxa"/>
            <w:noWrap w:val="0"/>
            <w:vAlign w:val="center"/>
          </w:tcPr>
          <w:p w14:paraId="70D6099D">
            <w:pPr>
              <w:keepNext w:val="0"/>
              <w:keepLines w:val="0"/>
              <w:widowControl/>
              <w:suppressLineNumbers w:val="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★预期用途/适应症</w:t>
            </w:r>
          </w:p>
        </w:tc>
        <w:tc>
          <w:tcPr>
            <w:tcW w:w="2174" w:type="dxa"/>
            <w:noWrap w:val="0"/>
            <w:vAlign w:val="center"/>
          </w:tcPr>
          <w:p w14:paraId="7FE5110A">
            <w:pPr>
              <w:keepNext w:val="0"/>
              <w:keepLines w:val="0"/>
              <w:widowControl/>
              <w:suppressLineNumbers w:val="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预期使用的规格型号</w:t>
            </w:r>
          </w:p>
        </w:tc>
      </w:tr>
      <w:tr w14:paraId="184EB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trPr>
        <w:tc>
          <w:tcPr>
            <w:tcW w:w="736" w:type="dxa"/>
            <w:noWrap w:val="0"/>
            <w:vAlign w:val="center"/>
          </w:tcPr>
          <w:p w14:paraId="77CC3B0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0"/>
                <w:szCs w:val="20"/>
                <w:u w:val="none"/>
                <w:lang w:val="en-US" w:eastAsia="zh-CN" w:bidi="ar"/>
              </w:rPr>
              <w:t>1</w:t>
            </w:r>
          </w:p>
        </w:tc>
        <w:tc>
          <w:tcPr>
            <w:tcW w:w="1377" w:type="dxa"/>
            <w:noWrap w:val="0"/>
            <w:vAlign w:val="center"/>
          </w:tcPr>
          <w:p w14:paraId="4C758092">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牛心包心脏外科补片</w:t>
            </w:r>
          </w:p>
        </w:tc>
        <w:tc>
          <w:tcPr>
            <w:tcW w:w="1500" w:type="dxa"/>
            <w:noWrap w:val="0"/>
            <w:vAlign w:val="center"/>
          </w:tcPr>
          <w:p w14:paraId="0FCA059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C120601118</w:t>
            </w:r>
          </w:p>
        </w:tc>
        <w:tc>
          <w:tcPr>
            <w:tcW w:w="2893" w:type="dxa"/>
            <w:noWrap w:val="0"/>
            <w:vAlign w:val="center"/>
          </w:tcPr>
          <w:p w14:paraId="1A72E764">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适用于心外科房间隔、室间隔、主动脉根部、右室流出道、瓣环、心肌和心包修复。</w:t>
            </w:r>
          </w:p>
        </w:tc>
        <w:tc>
          <w:tcPr>
            <w:tcW w:w="2174" w:type="dxa"/>
            <w:noWrap w:val="0"/>
            <w:vAlign w:val="center"/>
          </w:tcPr>
          <w:p w14:paraId="37A0A49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4P6/6P8/8P10</w:t>
            </w:r>
          </w:p>
        </w:tc>
      </w:tr>
    </w:tbl>
    <w:p w14:paraId="44D19DD2">
      <w:pPr>
        <w:jc w:val="left"/>
        <w:outlineLvl w:val="9"/>
        <w:rPr>
          <w:rFonts w:hint="eastAsia" w:ascii="仿宋" w:hAnsi="仿宋" w:eastAsia="仿宋" w:cs="仿宋"/>
          <w:b/>
          <w:sz w:val="28"/>
          <w:lang w:val="en-US" w:eastAsia="zh-Hans"/>
        </w:rPr>
      </w:pPr>
    </w:p>
    <w:p w14:paraId="31BD18BE">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1"/>
        <w:rPr>
          <w:rFonts w:hint="eastAsia" w:ascii="仿宋" w:hAnsi="仿宋" w:eastAsia="仿宋" w:cs="仿宋"/>
          <w:b/>
          <w:bCs/>
          <w:color w:val="000000"/>
          <w:sz w:val="28"/>
          <w:szCs w:val="28"/>
          <w:lang w:val="en-US" w:eastAsia="zh-CN"/>
        </w:rPr>
      </w:pPr>
      <w:r>
        <w:rPr>
          <w:rFonts w:hint="eastAsia" w:ascii="Times New Roman" w:hAnsi="Times New Roman" w:eastAsia="仿宋" w:cs="Times New Roman"/>
          <w:b/>
          <w:bCs/>
          <w:color w:val="auto"/>
          <w:sz w:val="22"/>
          <w:szCs w:val="22"/>
          <w:highlight w:val="none"/>
          <w:shd w:val="clear" w:color="auto" w:fill="auto"/>
          <w:lang w:val="en-US" w:eastAsia="zh-CN"/>
        </w:rPr>
        <w:t>★</w:t>
      </w:r>
      <w:r>
        <w:rPr>
          <w:rFonts w:hint="eastAsia" w:ascii="仿宋" w:hAnsi="仿宋" w:eastAsia="仿宋" w:cs="仿宋"/>
          <w:b/>
          <w:sz w:val="28"/>
        </w:rPr>
        <w:t>3.3.</w:t>
      </w:r>
      <w:r>
        <w:rPr>
          <w:rFonts w:hint="eastAsia" w:ascii="仿宋" w:hAnsi="仿宋" w:eastAsia="仿宋" w:cs="仿宋"/>
          <w:b/>
          <w:sz w:val="28"/>
          <w:lang w:val="en-US" w:eastAsia="zh-CN"/>
        </w:rPr>
        <w:t>项目采购要求</w:t>
      </w:r>
    </w:p>
    <w:p w14:paraId="3616BC06">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2"/>
        <w:rPr>
          <w:rFonts w:hint="eastAsia" w:ascii="仿宋" w:hAnsi="仿宋" w:eastAsia="仿宋" w:cs="仿宋"/>
          <w:b/>
          <w:sz w:val="28"/>
          <w:lang w:val="en-US" w:eastAsia="zh-CN"/>
        </w:rPr>
      </w:pPr>
      <w:r>
        <w:rPr>
          <w:rFonts w:hint="eastAsia" w:ascii="仿宋" w:hAnsi="仿宋" w:eastAsia="仿宋" w:cs="仿宋"/>
          <w:b/>
          <w:sz w:val="28"/>
          <w:lang w:val="en-US" w:eastAsia="zh-CN"/>
        </w:rPr>
        <w:t>一、挂网需求</w:t>
      </w:r>
    </w:p>
    <w:p w14:paraId="4DD30CE4">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本项目所有标的均须提供挂网产品。</w:t>
      </w:r>
    </w:p>
    <w:p w14:paraId="28C08851">
      <w:pPr>
        <w:ind w:firstLine="440" w:firstLineChars="200"/>
        <w:jc w:val="left"/>
        <w:textAlignment w:val="center"/>
        <w:rPr>
          <w:rFonts w:hint="default"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注：本项目中所指“挂网产品”，为“四川省药品和医用耗材招采管理系统”中已挂网产品（不含正在挂网和备案的产品）。</w:t>
      </w:r>
    </w:p>
    <w:p w14:paraId="2749A5EB">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2"/>
        <w:rPr>
          <w:rFonts w:hint="eastAsia" w:ascii="仿宋" w:hAnsi="仿宋" w:eastAsia="仿宋" w:cs="仿宋"/>
          <w:b/>
          <w:sz w:val="28"/>
          <w:lang w:val="en-US" w:eastAsia="zh-CN"/>
        </w:rPr>
      </w:pPr>
      <w:r>
        <w:rPr>
          <w:rFonts w:hint="eastAsia" w:ascii="仿宋" w:hAnsi="仿宋" w:eastAsia="仿宋" w:cs="仿宋"/>
          <w:b/>
          <w:sz w:val="28"/>
          <w:lang w:val="en-US" w:eastAsia="zh-CN"/>
        </w:rPr>
        <w:t>二、样品要求</w:t>
      </w:r>
    </w:p>
    <w:p w14:paraId="6CEB9A28">
      <w:pPr>
        <w:ind w:firstLine="440" w:firstLineChars="200"/>
        <w:jc w:val="left"/>
        <w:textAlignment w:val="center"/>
        <w:rPr>
          <w:rFonts w:hint="default"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1.必须提供样品，以供评审专家现场评审</w:t>
      </w:r>
      <w:r>
        <w:rPr>
          <w:rFonts w:hint="eastAsia" w:ascii="仿宋" w:hAnsi="仿宋" w:eastAsia="仿宋" w:cs="仿宋"/>
          <w:b/>
          <w:bCs/>
          <w:color w:val="000000"/>
          <w:kern w:val="0"/>
          <w:sz w:val="22"/>
          <w:szCs w:val="22"/>
          <w:highlight w:val="yellow"/>
          <w:u w:val="none"/>
          <w:lang w:val="en-US" w:eastAsia="zh-CN" w:bidi="ar"/>
        </w:rPr>
        <w:t>（如样品和标的产品有同一材质的，竞选人可提供承诺函证明标的产品与样品为同一材质，则无需提供所有标的产品作为样品），</w:t>
      </w:r>
      <w:r>
        <w:rPr>
          <w:rFonts w:hint="eastAsia" w:ascii="仿宋" w:hAnsi="仿宋" w:eastAsia="仿宋" w:cs="仿宋"/>
          <w:b/>
          <w:bCs/>
          <w:color w:val="000000"/>
          <w:kern w:val="0"/>
          <w:sz w:val="22"/>
          <w:szCs w:val="22"/>
          <w:highlight w:val="yellow"/>
          <w:lang w:val="en-US" w:eastAsia="zh-CN" w:bidi="zh-CN"/>
        </w:rPr>
        <w:t>（如响应的同一标的存在材质相同的多个型号，可提供其中一样作为样品）。</w:t>
      </w:r>
    </w:p>
    <w:p w14:paraId="3CEF6018">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2.提交的样品不符合实际需求或存在原理错误则视为无效响应。</w:t>
      </w:r>
    </w:p>
    <w:p w14:paraId="3FB1BB27">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3.本项目竞选人提供的样品，应与该竞选人响应文件保持一致（具体参考《医疗器械说明书和标签管理规定》）。</w:t>
      </w:r>
    </w:p>
    <w:p w14:paraId="60BEE1B0">
      <w:pPr>
        <w:ind w:firstLine="442" w:firstLineChars="200"/>
        <w:jc w:val="left"/>
        <w:textAlignment w:val="center"/>
        <w:rPr>
          <w:rFonts w:hint="default" w:ascii="仿宋" w:hAnsi="仿宋" w:eastAsia="仿宋" w:cs="仿宋"/>
          <w:b/>
          <w:bCs/>
          <w:color w:val="000000"/>
          <w:kern w:val="0"/>
          <w:sz w:val="22"/>
          <w:szCs w:val="22"/>
          <w:highlight w:val="yellow"/>
          <w:u w:val="none"/>
          <w:lang w:val="en-US" w:eastAsia="zh-CN" w:bidi="ar"/>
        </w:rPr>
      </w:pPr>
      <w:r>
        <w:rPr>
          <w:rFonts w:hint="eastAsia" w:ascii="仿宋" w:hAnsi="仿宋" w:eastAsia="仿宋" w:cs="仿宋"/>
          <w:b/>
          <w:bCs/>
          <w:color w:val="000000"/>
          <w:kern w:val="0"/>
          <w:sz w:val="22"/>
          <w:szCs w:val="22"/>
          <w:highlight w:val="yellow"/>
          <w:u w:val="none"/>
          <w:lang w:val="en-US" w:eastAsia="zh-CN" w:bidi="ar"/>
        </w:rPr>
        <w:t>注：样品包装需完整，样品评审时将由采购代理机构拍照留存，作为后期验收的依据。</w:t>
      </w:r>
    </w:p>
    <w:p w14:paraId="79A9EB3A">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2"/>
        <w:rPr>
          <w:rFonts w:hint="default" w:ascii="仿宋" w:hAnsi="仿宋" w:eastAsia="仿宋" w:cs="仿宋"/>
          <w:b/>
          <w:bCs/>
          <w:color w:val="000000"/>
          <w:sz w:val="24"/>
          <w:szCs w:val="24"/>
          <w:lang w:val="en-US" w:eastAsia="zh-CN"/>
        </w:rPr>
      </w:pPr>
      <w:r>
        <w:rPr>
          <w:rFonts w:hint="eastAsia" w:ascii="仿宋" w:hAnsi="仿宋" w:eastAsia="仿宋" w:cs="仿宋"/>
          <w:b/>
          <w:sz w:val="28"/>
          <w:lang w:val="en-US" w:eastAsia="zh-CN"/>
        </w:rPr>
        <w:t>三、商务</w:t>
      </w:r>
      <w:r>
        <w:rPr>
          <w:rFonts w:hint="eastAsia" w:ascii="仿宋" w:hAnsi="仿宋" w:eastAsia="仿宋" w:cs="仿宋"/>
          <w:b/>
          <w:sz w:val="28"/>
        </w:rPr>
        <w:t>要求</w:t>
      </w:r>
      <w:r>
        <w:rPr>
          <w:rFonts w:hint="eastAsia" w:ascii="仿宋" w:hAnsi="仿宋" w:eastAsia="仿宋" w:cs="仿宋"/>
          <w:b/>
          <w:bCs/>
          <w:color w:val="000000"/>
          <w:sz w:val="28"/>
          <w:szCs w:val="28"/>
          <w:lang w:val="en-US" w:eastAsia="zh-CN"/>
        </w:rPr>
        <w:t>：</w:t>
      </w:r>
    </w:p>
    <w:p w14:paraId="35268541">
      <w:pPr>
        <w:keepNext w:val="0"/>
        <w:keepLines w:val="0"/>
        <w:pageBreakBefore w:val="0"/>
        <w:widowControl w:val="0"/>
        <w:kinsoku/>
        <w:wordWrap/>
        <w:overflowPunct/>
        <w:topLinePunct w:val="0"/>
        <w:autoSpaceDE/>
        <w:autoSpaceDN/>
        <w:bidi w:val="0"/>
        <w:adjustRightInd/>
        <w:snapToGrid/>
        <w:spacing w:line="240" w:lineRule="exact"/>
        <w:ind w:firstLine="420" w:firstLineChars="0"/>
        <w:textAlignment w:val="auto"/>
        <w:outlineLvl w:val="3"/>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1.交货期及地点</w:t>
      </w:r>
    </w:p>
    <w:p w14:paraId="1A92BCB6">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（1）交货期：1.每次配送时间必须严格按照采购人配送通知执行，中选人应于收到通知后2小时内响应。急用产品的配送时间不应超过4小时，一般产品原则上的配送时间不应超过2个工作日。</w:t>
      </w:r>
    </w:p>
    <w:p w14:paraId="21CD208A">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（2）交货地点：内江</w:t>
      </w:r>
      <w:r>
        <w:rPr>
          <w:rFonts w:hint="eastAsia" w:ascii="仿宋" w:hAnsi="仿宋" w:eastAsia="仿宋" w:cs="仿宋"/>
          <w:color w:val="000000"/>
          <w:kern w:val="0"/>
          <w:sz w:val="22"/>
          <w:szCs w:val="22"/>
          <w:u w:val="none"/>
          <w:lang w:val="en-US" w:eastAsia="zh-CN" w:bidi="ar"/>
        </w:rPr>
        <w:t>市第一人民医院指定地点。</w:t>
      </w:r>
    </w:p>
    <w:p w14:paraId="53CB29E8">
      <w:pPr>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2.付款方法和条件</w:t>
      </w:r>
    </w:p>
    <w:p w14:paraId="1FFC49E9">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（1）结算方式：双方同意以采购人财务制度规定的付款时间及付款要求进行结算，投标人已完全了解并清楚采购人的财务制度，投标人对采购人财务制度规定的付款要求及付款时间不持异议。</w:t>
      </w:r>
    </w:p>
    <w:p w14:paraId="779839FE">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（2）成交价格包含成本、运输、包装、培训、配送、伴随服务、税费及其他附加费用等一切费用。</w:t>
      </w:r>
    </w:p>
    <w:p w14:paraId="485107D1">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（3）若本项目中限定了标的数量或金额，中标人应严格按照响应内容执行，采购人有权拒绝支付超出响应范围的任何内容。</w:t>
      </w:r>
    </w:p>
    <w:p w14:paraId="4D0C47D3">
      <w:pPr>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3.医用耗材质量保证</w:t>
      </w:r>
    </w:p>
    <w:p w14:paraId="390B3322">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（1）成交供应商须提供原厂生产的未曾使用过的、全新的合格的货品（含配套配件等），表面无划伤、无破损痕迹，且权属清楚，不得侵害他人的合法权利；</w:t>
      </w:r>
    </w:p>
    <w:p w14:paraId="2EA1C8C5">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成交供应商所提供货品须符合或优于国家（行业）标准、本项目招标文件要求及竞选文件响应内容。当竞选文件响应内容与招标文件要求不一致时，以竞选文件响应内容为准。当竞选文件响应内容与国家标准、行业标准（若有）不一致时，以较高标准为准；</w:t>
      </w:r>
    </w:p>
    <w:p w14:paraId="3D89E2BD">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（3）成交供应商提供货品的设计技术专利、外形专利等均应符合我国有关法律法规及行业标准，凡因以上问题与第三方发生的任何纠纷均与采购人无关；</w:t>
      </w:r>
    </w:p>
    <w:p w14:paraId="6797E063">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（4）成交供应商保证其提供货品的安全可靠性。在正常使用下不应对使用者造成任何人身伤害，如因产品质量或标示不明确而对使用者造成损失的，由成交供应商承担相应责任；</w:t>
      </w:r>
    </w:p>
    <w:p w14:paraId="562D0C05">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成交供应商应保证所供耗材原产地真实，医用耗材是全新的、未使用过的，质量符合国家标准（在无国家标准时，符合行业标准），不得以假充真，以次充好，确保临床医疗安全。如出现质量问题，成交供应商负责按照采购人要求办理退货并承担因耗材质量导致的经济和法律责任。送货时，需向采购人提供以下资料：产品送货单、产品合格证明文件（检验报告单）、进口产品需出具中文标签、进口产品需提供中华人民共和国海关进口货物报关单；</w:t>
      </w:r>
    </w:p>
    <w:p w14:paraId="2D4737A7">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（6）成交供应商保证所供耗材有效期不低于1年，自通过最终验收之日起，确保采购人在使用耗材的过程中安全、有效。</w:t>
      </w:r>
    </w:p>
    <w:p w14:paraId="162B4FE9">
      <w:pPr>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4.验收</w:t>
      </w:r>
    </w:p>
    <w:p w14:paraId="1D1F80DC">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按照《财政部关于进一步加强政府采购需求和履约验收管理的指导意见》（财库〔2016〕205号）的要求以及采购人招标文件的质量要求和技术指标、成交供应商的竞选文件及承诺（若有）、国家（行业）标准、本合同约定标准进行验收；</w:t>
      </w:r>
    </w:p>
    <w:p w14:paraId="16F2D842">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验收时如发现所交付的货物有短装、次品、损坏或其他不符合验收标准的，采购人应做出详尽的现场记录，此现场记录或备忘录可用作补充、缺失和更换损坏部件的有效证据，由此产生的时间延误与有关费用由成交供应商承担，验收期限相应顺延；</w:t>
      </w:r>
    </w:p>
    <w:p w14:paraId="1B5E1D0B">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若所提供货物不符合验收标准，成交供应商经过2次维修或2次调换后仍不能达到验收质量标准，则视为验收不合格，采购人有权全部（或部分）退货或解除合同。接到采购人退货通知，成交供应商除应及时运走采购人退还的货物外（若涉及费用或损失均由成交供应商自行承担），还应向采购人承担相应的违约责任。</w:t>
      </w:r>
    </w:p>
    <w:p w14:paraId="2D1C6EC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（4）</w:t>
      </w:r>
      <w:r>
        <w:rPr>
          <w:rFonts w:hint="default" w:ascii="仿宋" w:hAnsi="仿宋" w:eastAsia="仿宋" w:cs="仿宋"/>
          <w:color w:val="000000"/>
          <w:kern w:val="0"/>
          <w:sz w:val="21"/>
          <w:szCs w:val="21"/>
          <w:lang w:val="en-US" w:eastAsia="zh-CN" w:bidi="zh-CN"/>
        </w:rPr>
        <w:t>其他未尽事宜严格按照《财政部关于进一步加强政府采购需求和履约验收管理的指导意见》（财库〔2016〕205号）的要求进行。</w:t>
      </w:r>
    </w:p>
    <w:p w14:paraId="4EC2247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（5）所配送耗材的技术参数与性能指标中涉及到的国家标准、行业标准或地方标准，若有最新标准以最新标准为准。</w:t>
      </w:r>
    </w:p>
    <w:p w14:paraId="5827D93E">
      <w:pPr>
        <w:ind w:firstLine="440" w:firstLineChars="200"/>
        <w:jc w:val="left"/>
        <w:textAlignment w:val="center"/>
        <w:rPr>
          <w:rFonts w:hint="eastAsia" w:ascii="仿宋" w:hAnsi="仿宋" w:eastAsia="仿宋" w:cs="仿宋"/>
          <w:color w:val="000000"/>
          <w:kern w:val="0"/>
          <w:sz w:val="22"/>
          <w:szCs w:val="22"/>
          <w:u w:val="none"/>
          <w:lang w:val="en-US" w:eastAsia="zh-CN" w:bidi="ar"/>
        </w:rPr>
      </w:pPr>
    </w:p>
    <w:p w14:paraId="778DEF74">
      <w:pPr>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5.售后服务</w:t>
      </w:r>
    </w:p>
    <w:p w14:paraId="1E68DEA0">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要求成交供应商必须严格按照招标文件要求和竞选文件中的承诺提供配送服务。如果配送的医用耗材规格、包装等信息与中标产品的规格、包装等信息不一致并不同意更换的，或配送的医用耗材和中标产品不一致的，采购人有权终止合同；</w:t>
      </w:r>
    </w:p>
    <w:p w14:paraId="77614492">
      <w:pPr>
        <w:ind w:firstLine="442" w:firstLineChars="200"/>
        <w:jc w:val="left"/>
        <w:textAlignment w:val="center"/>
        <w:rPr>
          <w:rFonts w:hint="eastAsia" w:ascii="仿宋" w:hAnsi="仿宋" w:eastAsia="仿宋" w:cs="仿宋"/>
          <w:b/>
          <w:bCs/>
          <w:color w:val="000000"/>
          <w:kern w:val="0"/>
          <w:sz w:val="22"/>
          <w:szCs w:val="22"/>
          <w:highlight w:val="yellow"/>
          <w:u w:val="none"/>
          <w:lang w:val="en-US" w:eastAsia="zh-CN" w:bidi="ar"/>
        </w:rPr>
      </w:pPr>
      <w:r>
        <w:rPr>
          <w:rFonts w:hint="eastAsia" w:ascii="仿宋" w:hAnsi="仿宋" w:eastAsia="仿宋" w:cs="仿宋"/>
          <w:b/>
          <w:bCs/>
          <w:color w:val="000000"/>
          <w:kern w:val="0"/>
          <w:sz w:val="22"/>
          <w:szCs w:val="22"/>
          <w:highlight w:val="yellow"/>
          <w:u w:val="none"/>
          <w:lang w:val="en-US" w:eastAsia="zh-CN" w:bidi="ar"/>
        </w:rPr>
        <w:t>（2）要求成交供应商指派专人负责与采购人联系售后服务事宜；在竞选文件中列明售后联系人及联系电话；</w:t>
      </w:r>
    </w:p>
    <w:p w14:paraId="0F33F511">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要求成交供应商须按采购人要求分期分批按时交货，每次配送的时间和数量必须严格按照采购人发送的配送通知执行。要求急需使用的产品4小时内送达，一般情况48小时内送达，若因采购人原因时间变更，以采购人通知时间为准，节假日照常配送，并承诺无条件退换破损和近效期产品；</w:t>
      </w:r>
    </w:p>
    <w:p w14:paraId="2C76D5BE">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（4）耗材临近失效期，采购人提前三个月向成交供应商提出更换，成交供应商须在耗材失效前一个月更换完毕，不得以任何理由进行推诿；</w:t>
      </w:r>
    </w:p>
    <w:p w14:paraId="27096366">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（5）成交供应商必须随货提供其具备医疗器械经营企业的有关合法有效的手续（包括但不限于）：</w:t>
      </w:r>
    </w:p>
    <w:p w14:paraId="7F9C2F6A">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5.1产品所涉及逐级授权经销商的医疗器械生产（经营）许可证或生产（经营）企业备案表；</w:t>
      </w:r>
    </w:p>
    <w:p w14:paraId="3636E82C">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5.2医疗器械产品注册证或备案凭证；</w:t>
      </w:r>
    </w:p>
    <w:p w14:paraId="73FB8F03">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5.3医疗器械生产企业许可证；</w:t>
      </w:r>
    </w:p>
    <w:p w14:paraId="3ED54AED">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5.4经销商获得的委托授权书（逐级）；</w:t>
      </w:r>
    </w:p>
    <w:p w14:paraId="39EADDF5">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5.5产品所涉及逐级授权经销商的企业法人营业执照。</w:t>
      </w:r>
    </w:p>
    <w:p w14:paraId="447D217E">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5.6采购人要求提供的相关资料。</w:t>
      </w:r>
    </w:p>
    <w:p w14:paraId="5AA9612A">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6）合同有效期内，项目清单中产品凡是纳入网上集中采购医用耗材的，应在公示后10个工作日内以书面形式告知采购人，应按照四川省医疗保障局下发的《四川省医药机构医用耗材集中采购实施方案》要求进行挂网采购，且挂网采购价格不应高于联动参考价、该产品上月末全省医药机构最低采购价或采购成交价中的任一价格。经甲乙双方商议后，若因乙方或厂家原因无法按上述要求执行的，则甲方可以解除与乙方在成交合同中对该产品的采购相关约定。</w:t>
      </w:r>
    </w:p>
    <w:p w14:paraId="484F2A17">
      <w:pPr>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 xml:space="preserve">6.包装和运输 </w:t>
      </w:r>
    </w:p>
    <w:p w14:paraId="48FEE2BE">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 xml:space="preserve">（1）成交供应商须严格按照《商品包装政府采购需求标准(试行)》、《快递包装政府采购需求标准(试行)》(财办库〔2020〕123 号)的要求进行产品及相关快递服务的包装； </w:t>
      </w:r>
    </w:p>
    <w:p w14:paraId="4A469C41">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 xml:space="preserve">（2）竞选人应当按照约定的方式交付标的物。对于包装方式没有约定或者约定不明确的，应当按照通用的方式包装；没有通用方式的，应当采取足以保护标的物且有利于节约资源，保护生态环境的包装方式； </w:t>
      </w:r>
    </w:p>
    <w:p w14:paraId="1EEF61A8">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（3）本次采购的标的物需要运输，竞选人在合同约定的时间内将标的物运输至合同约定地点。</w:t>
      </w:r>
    </w:p>
    <w:p w14:paraId="7B49527C">
      <w:pPr>
        <w:jc w:val="left"/>
        <w:outlineLvl w:val="1"/>
        <w:rPr>
          <w:rFonts w:hint="eastAsia" w:ascii="仿宋" w:hAnsi="仿宋" w:eastAsia="仿宋" w:cs="仿宋"/>
          <w:lang w:val="en-US" w:eastAsia="zh-Hans"/>
        </w:rPr>
      </w:pPr>
      <w:r>
        <w:rPr>
          <w:rFonts w:hint="eastAsia" w:ascii="仿宋" w:hAnsi="仿宋" w:eastAsia="仿宋" w:cs="仿宋"/>
          <w:b/>
          <w:sz w:val="28"/>
          <w:lang w:val="en-US" w:eastAsia="zh-Hans"/>
        </w:rPr>
        <w:t>3.4.其他要求</w:t>
      </w:r>
    </w:p>
    <w:p w14:paraId="158FD91B">
      <w:pPr>
        <w:ind w:firstLine="480" w:firstLineChars="0"/>
        <w:jc w:val="left"/>
        <w:outlineLvl w:val="2"/>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1.</w:t>
      </w:r>
      <w:r>
        <w:rPr>
          <w:rFonts w:hint="default" w:ascii="仿宋" w:hAnsi="仿宋" w:eastAsia="仿宋" w:cs="仿宋"/>
          <w:b/>
          <w:bCs/>
          <w:sz w:val="24"/>
          <w:szCs w:val="24"/>
          <w:lang w:val="en-US" w:eastAsia="zh-CN"/>
        </w:rPr>
        <w:t>违约责任与解决争议的方法：</w:t>
      </w:r>
    </w:p>
    <w:p w14:paraId="27EC18BA">
      <w:pPr>
        <w:ind w:firstLine="480" w:firstLineChars="0"/>
        <w:jc w:val="left"/>
        <w:outlineLvl w:val="1"/>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1.1违约责任</w:t>
      </w:r>
    </w:p>
    <w:p w14:paraId="2ECC8020">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（1）乙方逾期15日内不能提供甲方所需医用耗材的，应向甲方每日支付该批次货款千分之三的违约金。</w:t>
      </w:r>
    </w:p>
    <w:p w14:paraId="3AF057B8">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（2）乙方逾期15日及以上不能交付以上产品的，视同不能供货，须向甲方支付该批次货款的10%的违约金，同时甲方可以单方面解除本合同。</w:t>
      </w:r>
    </w:p>
    <w:p w14:paraId="3BBD8B46">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（3）若因乙方原因造成甲方被监管部门通报三次及以上的或者造成甲方违规采购，甲方有权单方面解除本合同。同时</w:t>
      </w:r>
      <w:r>
        <w:rPr>
          <w:rFonts w:hint="default" w:ascii="仿宋" w:hAnsi="仿宋" w:eastAsia="仿宋" w:cs="仿宋"/>
          <w:color w:val="000000"/>
          <w:kern w:val="0"/>
          <w:sz w:val="22"/>
          <w:szCs w:val="22"/>
          <w:u w:val="none"/>
          <w:lang w:val="en-US" w:eastAsia="zh-CN" w:bidi="ar"/>
        </w:rPr>
        <w:t>，</w:t>
      </w:r>
      <w:r>
        <w:rPr>
          <w:rFonts w:hint="eastAsia" w:ascii="仿宋" w:hAnsi="仿宋" w:eastAsia="仿宋" w:cs="仿宋"/>
          <w:color w:val="000000"/>
          <w:kern w:val="0"/>
          <w:sz w:val="22"/>
          <w:szCs w:val="22"/>
          <w:u w:val="none"/>
          <w:lang w:val="en-US" w:eastAsia="zh-CN" w:bidi="ar"/>
        </w:rPr>
        <w:t>甲方有权要求乙方支付该批货物价款20%的违约金。</w:t>
      </w:r>
    </w:p>
    <w:p w14:paraId="29E00479">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4）乙方销售的产品若发生严重医疗不良事件或被国家法定检测机构检测为不合格产品，视为乙方违约导致不能实现本合同目的，甲方有权单方面解除本合同，并要求乙方限期收回不合格产品，并要求乙方需承担合同价款20%的违约金，违约金不足以弥补甲方损失的，乙方还应当承补足。即使产品已经验收入库（或安装调试完毕）后，甲方才发现产品为不合格产品的，也视为乙方违约，乙方应当承担本条约定的责任。同时甲方有权退回库存产品。</w:t>
      </w:r>
    </w:p>
    <w:p w14:paraId="545D42F9">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（5）若根据法律规定或本协议约定产生甲方退、换货或拒绝收货情形，由乙方承担退换货产生的各项税、费或其他支出。</w:t>
      </w:r>
    </w:p>
    <w:p w14:paraId="2F41CEEF">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（6）乙方不能保证及时供货，除应当向甲方承担违约责任外，甲方仍有权单方面解除本合同。</w:t>
      </w:r>
    </w:p>
    <w:p w14:paraId="3EF5D09F">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（7）因乙方提供的产品不合格造成甲方或第三人人身损害或财产损失的，由乙方承担赔偿责任。</w:t>
      </w:r>
    </w:p>
    <w:p w14:paraId="65A60612">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8）若因乙方原因造成甲方挂网执行存在问题以及线上支付不及时、造成甲方未挂网采购的或者存在其他问题的，乙方应承担违约责任，且甲方有权要求乙方支付该批货物价款20%的违约金，甲方有权单方面解除合同。</w:t>
      </w:r>
    </w:p>
    <w:p w14:paraId="5FBB0197">
      <w:pPr>
        <w:ind w:firstLine="480" w:firstLineChars="0"/>
        <w:jc w:val="left"/>
        <w:outlineLvl w:val="1"/>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1.2解决合同纠纷的方式</w:t>
      </w:r>
    </w:p>
    <w:p w14:paraId="30573373">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（1）因货物的质量问题发生的争议，由法定质量鉴定机构或其认可的质量鉴定机构进行质量鉴定。货物符合标准的，鉴定费由甲方承担；货物不符合质量标准的，鉴定费由乙方承担。</w:t>
      </w:r>
    </w:p>
    <w:p w14:paraId="381108FA">
      <w:pPr>
        <w:ind w:firstLine="440" w:firstLineChars="200"/>
        <w:jc w:val="left"/>
        <w:textAlignment w:val="center"/>
        <w:rPr>
          <w:rFonts w:hint="default"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（2）合同履行期间，若双方发生争议，可协商或由有关部门调解解决，协商或调解不成的，可向甲方所在地人民法院依法提起诉讼。</w:t>
      </w:r>
    </w:p>
    <w:p w14:paraId="610F2F6D">
      <w:pPr>
        <w:ind w:firstLine="480"/>
        <w:jc w:val="left"/>
        <w:rPr>
          <w:rFonts w:hint="eastAsia" w:ascii="Times New Roman" w:hAnsi="Times New Roman" w:eastAsia="仿宋" w:cs="Times New Roman"/>
          <w:color w:val="auto"/>
          <w:sz w:val="24"/>
          <w:szCs w:val="24"/>
          <w:highlight w:val="yellow"/>
          <w:shd w:val="clear" w:color="auto" w:fill="auto"/>
          <w:lang w:val="en-US" w:eastAsia="zh-CN"/>
        </w:rPr>
      </w:pPr>
      <w:r>
        <w:rPr>
          <w:rFonts w:hint="eastAsia" w:ascii="仿宋" w:hAnsi="仿宋" w:eastAsia="仿宋" w:cs="仿宋"/>
          <w:b/>
          <w:bCs/>
          <w:sz w:val="24"/>
          <w:szCs w:val="24"/>
          <w:lang w:val="en-US" w:eastAsia="zh-CN"/>
        </w:rPr>
        <w:t>2.</w:t>
      </w:r>
      <w:r>
        <w:rPr>
          <w:rFonts w:hint="default" w:ascii="Times New Roman" w:hAnsi="Times New Roman" w:eastAsia="仿宋" w:cs="Times New Roman"/>
          <w:b/>
          <w:bCs/>
          <w:color w:val="auto"/>
          <w:sz w:val="24"/>
          <w:szCs w:val="24"/>
          <w:highlight w:val="none"/>
          <w:shd w:val="clear" w:color="auto" w:fill="auto"/>
          <w:lang w:val="en-US" w:eastAsia="zh-Hans"/>
        </w:rPr>
        <w:t>履行期限</w:t>
      </w:r>
      <w:r>
        <w:rPr>
          <w:rFonts w:hint="eastAsia" w:ascii="Times New Roman" w:hAnsi="Times New Roman" w:eastAsia="仿宋" w:cs="Times New Roman"/>
          <w:b/>
          <w:bCs/>
          <w:color w:val="auto"/>
          <w:sz w:val="24"/>
          <w:szCs w:val="24"/>
          <w:highlight w:val="none"/>
          <w:shd w:val="clear" w:color="auto" w:fill="auto"/>
          <w:lang w:val="en-US" w:eastAsia="zh-CN"/>
        </w:rPr>
        <w:t>：</w:t>
      </w:r>
      <w:r>
        <w:rPr>
          <w:rFonts w:hint="eastAsia" w:ascii="仿宋" w:hAnsi="仿宋" w:eastAsia="仿宋" w:cs="仿宋"/>
          <w:color w:val="000000"/>
          <w:kern w:val="0"/>
          <w:sz w:val="22"/>
          <w:szCs w:val="22"/>
          <w:highlight w:val="yellow"/>
          <w:u w:val="none"/>
          <w:lang w:val="en-US" w:eastAsia="zh-CN" w:bidi="ar"/>
        </w:rPr>
        <w:t>1年；</w:t>
      </w:r>
    </w:p>
    <w:p w14:paraId="449127BE">
      <w:pPr>
        <w:ind w:firstLine="480"/>
        <w:jc w:val="left"/>
        <w:rPr>
          <w:rFonts w:hint="eastAsia" w:ascii="仿宋" w:hAnsi="仿宋" w:eastAsia="仿宋" w:cs="仿宋"/>
          <w:b w:val="0"/>
          <w:bCs w:val="0"/>
          <w:sz w:val="24"/>
          <w:szCs w:val="24"/>
          <w:lang w:val="en-US" w:eastAsia="zh-CN"/>
        </w:rPr>
      </w:pPr>
      <w:r>
        <w:rPr>
          <w:rFonts w:hint="eastAsia" w:ascii="仿宋" w:hAnsi="仿宋" w:eastAsia="仿宋" w:cs="仿宋"/>
          <w:b/>
          <w:bCs/>
          <w:sz w:val="24"/>
          <w:szCs w:val="24"/>
          <w:lang w:val="en-US" w:eastAsia="zh-CN"/>
        </w:rPr>
        <w:t>3.支付方式：</w:t>
      </w:r>
      <w:r>
        <w:rPr>
          <w:rFonts w:hint="eastAsia" w:ascii="仿宋" w:hAnsi="仿宋" w:eastAsia="仿宋" w:cs="仿宋"/>
          <w:color w:val="000000"/>
          <w:kern w:val="0"/>
          <w:sz w:val="22"/>
          <w:szCs w:val="22"/>
          <w:u w:val="none"/>
          <w:lang w:val="en-US" w:eastAsia="zh-CN" w:bidi="ar"/>
        </w:rPr>
        <w:t>双方协商确定。</w:t>
      </w:r>
    </w:p>
    <w:p w14:paraId="0076561B">
      <w:pPr>
        <w:ind w:firstLine="480"/>
        <w:jc w:val="left"/>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4.</w:t>
      </w:r>
      <w:r>
        <w:rPr>
          <w:rFonts w:hint="default" w:ascii="仿宋" w:hAnsi="仿宋" w:eastAsia="仿宋" w:cs="仿宋"/>
          <w:b/>
          <w:bCs/>
          <w:sz w:val="24"/>
          <w:szCs w:val="24"/>
          <w:lang w:val="en-US" w:eastAsia="zh-CN"/>
        </w:rPr>
        <w:t>履约验收程序</w:t>
      </w:r>
      <w:r>
        <w:rPr>
          <w:rFonts w:hint="eastAsia" w:ascii="仿宋" w:hAnsi="仿宋" w:eastAsia="仿宋" w:cs="仿宋"/>
          <w:b/>
          <w:bCs/>
          <w:sz w:val="24"/>
          <w:szCs w:val="24"/>
          <w:lang w:val="en-US" w:eastAsia="zh-CN"/>
        </w:rPr>
        <w:t>：</w:t>
      </w:r>
      <w:r>
        <w:rPr>
          <w:rFonts w:hint="eastAsia" w:ascii="仿宋" w:hAnsi="仿宋" w:eastAsia="仿宋" w:cs="仿宋"/>
          <w:color w:val="000000"/>
          <w:kern w:val="0"/>
          <w:sz w:val="22"/>
          <w:szCs w:val="22"/>
          <w:u w:val="none"/>
          <w:lang w:val="en-US" w:eastAsia="zh-CN" w:bidi="ar"/>
        </w:rPr>
        <w:t>分批次验收。</w:t>
      </w:r>
    </w:p>
    <w:p w14:paraId="1914D3C3">
      <w:r>
        <w:rPr>
          <w:rFonts w:hint="eastAsia" w:ascii="仿宋" w:hAnsi="仿宋" w:eastAsia="仿宋" w:cs="仿宋"/>
          <w:b/>
          <w:bCs/>
          <w:sz w:val="24"/>
          <w:szCs w:val="24"/>
          <w:lang w:val="en-US" w:eastAsia="zh-CN"/>
        </w:rPr>
        <w:t>5.</w:t>
      </w:r>
      <w:r>
        <w:rPr>
          <w:rFonts w:hint="default" w:ascii="仿宋" w:hAnsi="仿宋" w:eastAsia="仿宋" w:cs="仿宋"/>
          <w:b/>
          <w:bCs/>
          <w:sz w:val="24"/>
          <w:szCs w:val="24"/>
          <w:lang w:val="en-US" w:eastAsia="zh-CN"/>
        </w:rPr>
        <w:t>履约验收时间：</w:t>
      </w:r>
      <w:r>
        <w:rPr>
          <w:rFonts w:hint="default" w:ascii="仿宋" w:hAnsi="仿宋" w:eastAsia="仿宋" w:cs="仿宋"/>
          <w:color w:val="000000"/>
          <w:kern w:val="0"/>
          <w:sz w:val="22"/>
          <w:szCs w:val="22"/>
          <w:u w:val="none"/>
          <w:lang w:val="en-US" w:eastAsia="zh-CN" w:bidi="ar"/>
        </w:rPr>
        <w:t>合同期限内，根据</w:t>
      </w:r>
      <w:r>
        <w:rPr>
          <w:rFonts w:hint="eastAsia" w:ascii="仿宋" w:hAnsi="仿宋" w:eastAsia="仿宋" w:cs="仿宋"/>
          <w:color w:val="000000"/>
          <w:kern w:val="0"/>
          <w:sz w:val="22"/>
          <w:szCs w:val="22"/>
          <w:u w:val="none"/>
          <w:lang w:val="en-US" w:eastAsia="zh-CN" w:bidi="ar"/>
        </w:rPr>
        <w:t>采购人</w:t>
      </w:r>
      <w:r>
        <w:rPr>
          <w:rFonts w:hint="default" w:ascii="仿宋" w:hAnsi="仿宋" w:eastAsia="仿宋" w:cs="仿宋"/>
          <w:color w:val="000000"/>
          <w:kern w:val="0"/>
          <w:sz w:val="22"/>
          <w:szCs w:val="22"/>
          <w:u w:val="none"/>
          <w:lang w:val="en-US" w:eastAsia="zh-CN" w:bidi="ar"/>
        </w:rPr>
        <w:t>要求分批次送货，完成送货、验收入库视为验收完成</w:t>
      </w:r>
      <w:r>
        <w:rPr>
          <w:rFonts w:hint="eastAsia" w:ascii="仿宋" w:hAnsi="仿宋" w:eastAsia="仿宋" w:cs="仿宋"/>
          <w:color w:val="000000"/>
          <w:kern w:val="0"/>
          <w:sz w:val="22"/>
          <w:szCs w:val="22"/>
          <w:u w:val="none"/>
          <w:lang w:val="en-US" w:eastAsia="zh-CN" w:bidi="ar"/>
        </w:rPr>
        <w:t>。</w:t>
      </w:r>
      <w:r>
        <w:rPr>
          <w:rFonts w:hint="eastAsia" w:ascii="仿宋" w:hAnsi="仿宋" w:eastAsia="仿宋" w:cs="仿宋"/>
          <w:color w:val="000000"/>
          <w:kern w:val="0"/>
          <w:sz w:val="22"/>
          <w:szCs w:val="22"/>
          <w:u w:val="none"/>
          <w:lang w:val="en-US" w:eastAsia="zh-CN" w:bidi="ar"/>
        </w:rPr>
        <w:br w:type="textWrapp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A816B2"/>
    <w:rsid w:val="077F66F5"/>
    <w:rsid w:val="0FBE6E80"/>
    <w:rsid w:val="108B406B"/>
    <w:rsid w:val="17E8357A"/>
    <w:rsid w:val="1ACE595C"/>
    <w:rsid w:val="2D666B35"/>
    <w:rsid w:val="2DD262C3"/>
    <w:rsid w:val="2E4F2AC8"/>
    <w:rsid w:val="312E4E5B"/>
    <w:rsid w:val="3605102C"/>
    <w:rsid w:val="368372FD"/>
    <w:rsid w:val="390F7474"/>
    <w:rsid w:val="3E441D93"/>
    <w:rsid w:val="4EE35A4E"/>
    <w:rsid w:val="52CC08FE"/>
    <w:rsid w:val="55DA3FC2"/>
    <w:rsid w:val="5D2D4643"/>
    <w:rsid w:val="62F141EA"/>
    <w:rsid w:val="6B3117C7"/>
    <w:rsid w:val="716442F4"/>
    <w:rsid w:val="71D012D8"/>
    <w:rsid w:val="7A0330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pPr>
      <w:snapToGrid w:val="0"/>
      <w:spacing w:line="440" w:lineRule="exact"/>
    </w:pPr>
    <w:rPr>
      <w:rFonts w:ascii="Times New Roman" w:eastAsia="Times New Roman"/>
      <w:sz w:val="20"/>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3861</Words>
  <Characters>3954</Characters>
  <Lines>0</Lines>
  <Paragraphs>0</Paragraphs>
  <TotalTime>0</TotalTime>
  <ScaleCrop>false</ScaleCrop>
  <LinksUpToDate>false</LinksUpToDate>
  <CharactersWithSpaces>3959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郑yueJun</cp:lastModifiedBy>
  <dcterms:modified xsi:type="dcterms:W3CDTF">2026-06-23T01:30:37Z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eyJoZGlkIjoiZmU5MzkzNmZjMzc3NWFhY2FhNzA2NjQ0ZDdjMjMwZDYiLCJ1c2VySWQiOiI0ODI5Njk1NDgifQ==</vt:lpwstr>
  </property>
  <property fmtid="{D5CDD505-2E9C-101B-9397-08002B2CF9AE}" pid="4" name="ICV">
    <vt:lpwstr>3454A1C3AF004F87A8CEA349569158FA_13</vt:lpwstr>
  </property>
</Properties>
</file>