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1DEF3">
      <w:pPr>
        <w:pStyle w:val="16"/>
        <w:jc w:val="center"/>
        <w:outlineLvl w:val="0"/>
        <w:rPr>
          <w:rFonts w:hint="eastAsia" w:ascii="仿宋" w:hAnsi="仿宋" w:eastAsia="仿宋" w:cs="仿宋"/>
          <w:highlight w:val="none"/>
        </w:rPr>
      </w:pPr>
      <w:bookmarkStart w:id="1" w:name="_GoBack"/>
      <w:bookmarkEnd w:id="1"/>
      <w:bookmarkStart w:id="0" w:name="_Toc27801"/>
      <w:r>
        <w:rPr>
          <w:rFonts w:hint="eastAsia" w:ascii="仿宋" w:hAnsi="仿宋" w:eastAsia="仿宋" w:cs="仿宋"/>
          <w:b/>
          <w:sz w:val="36"/>
          <w:highlight w:val="none"/>
        </w:rPr>
        <w:t>第三章 技术、服务及其他要求</w:t>
      </w:r>
      <w:bookmarkEnd w:id="0"/>
    </w:p>
    <w:p w14:paraId="2E104DF2">
      <w:pPr>
        <w:pStyle w:val="16"/>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7461EA8B">
      <w:pPr>
        <w:pStyle w:val="16"/>
        <w:jc w:val="left"/>
        <w:outlineLvl w:val="1"/>
        <w:rPr>
          <w:rFonts w:hint="eastAsia" w:ascii="仿宋" w:hAnsi="仿宋" w:eastAsia="仿宋" w:cs="仿宋"/>
          <w:sz w:val="28"/>
          <w:szCs w:val="28"/>
          <w:highlight w:val="none"/>
          <w:lang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p w14:paraId="35CAAD43">
      <w:pPr>
        <w:pStyle w:val="16"/>
        <w:ind w:firstLine="480"/>
        <w:jc w:val="left"/>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本项目提供的产品，必须为“四川省药品和医用耗材招采管理系统”中已挂网产品（不含正在挂网和备案的产品）。</w:t>
      </w:r>
    </w:p>
    <w:p w14:paraId="3234D82E">
      <w:pPr>
        <w:pStyle w:val="16"/>
        <w:jc w:val="left"/>
        <w:rPr>
          <w:rFonts w:hint="default"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采购包1：</w:t>
      </w:r>
    </w:p>
    <w:tbl>
      <w:tblPr>
        <w:tblStyle w:val="13"/>
        <w:tblW w:w="467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2596"/>
        <w:gridCol w:w="1050"/>
        <w:gridCol w:w="845"/>
        <w:gridCol w:w="1384"/>
        <w:gridCol w:w="1422"/>
      </w:tblGrid>
      <w:tr w14:paraId="04516D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trPr>
        <w:tc>
          <w:tcPr>
            <w:tcW w:w="423" w:type="pct"/>
            <w:vAlign w:val="center"/>
          </w:tcPr>
          <w:p w14:paraId="26662AE3">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编号</w:t>
            </w:r>
          </w:p>
        </w:tc>
        <w:tc>
          <w:tcPr>
            <w:tcW w:w="1628" w:type="pct"/>
            <w:vAlign w:val="center"/>
          </w:tcPr>
          <w:p w14:paraId="73C345CA">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标的名称</w:t>
            </w:r>
          </w:p>
        </w:tc>
        <w:tc>
          <w:tcPr>
            <w:tcW w:w="658" w:type="pct"/>
            <w:vAlign w:val="center"/>
          </w:tcPr>
          <w:p w14:paraId="6EDF345E">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★单价最高限价（</w:t>
            </w:r>
            <w:r>
              <w:rPr>
                <w:rFonts w:hint="default" w:ascii="仿宋" w:hAnsi="仿宋" w:eastAsia="仿宋" w:cs="仿宋"/>
                <w:sz w:val="22"/>
                <w:szCs w:val="22"/>
                <w:highlight w:val="none"/>
                <w:lang w:val="en-US" w:eastAsia="zh-CN"/>
              </w:rPr>
              <w:t>元</w:t>
            </w:r>
            <w:r>
              <w:rPr>
                <w:rFonts w:hint="eastAsia" w:ascii="仿宋" w:hAnsi="仿宋" w:eastAsia="仿宋" w:cs="仿宋"/>
                <w:sz w:val="22"/>
                <w:szCs w:val="22"/>
                <w:highlight w:val="none"/>
                <w:lang w:val="en-US" w:eastAsia="zh-CN"/>
              </w:rPr>
              <w:t>）</w:t>
            </w:r>
          </w:p>
        </w:tc>
        <w:tc>
          <w:tcPr>
            <w:tcW w:w="529" w:type="pct"/>
            <w:vAlign w:val="center"/>
          </w:tcPr>
          <w:p w14:paraId="4E6A165C">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计量单位</w:t>
            </w:r>
          </w:p>
        </w:tc>
        <w:tc>
          <w:tcPr>
            <w:tcW w:w="868" w:type="pct"/>
            <w:vAlign w:val="center"/>
          </w:tcPr>
          <w:p w14:paraId="3BBE4CAF">
            <w:pPr>
              <w:pStyle w:val="16"/>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★使用数量</w:t>
            </w:r>
          </w:p>
        </w:tc>
        <w:tc>
          <w:tcPr>
            <w:tcW w:w="891" w:type="pct"/>
            <w:vAlign w:val="center"/>
          </w:tcPr>
          <w:p w14:paraId="3154A23B">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★项目最高限价（</w:t>
            </w:r>
            <w:r>
              <w:rPr>
                <w:rFonts w:hint="default" w:ascii="仿宋" w:hAnsi="仿宋" w:eastAsia="仿宋" w:cs="仿宋"/>
                <w:sz w:val="22"/>
                <w:szCs w:val="22"/>
                <w:highlight w:val="none"/>
                <w:lang w:val="en-US" w:eastAsia="zh-CN"/>
              </w:rPr>
              <w:t>元</w:t>
            </w:r>
            <w:r>
              <w:rPr>
                <w:rFonts w:hint="eastAsia" w:ascii="仿宋" w:hAnsi="仿宋" w:eastAsia="仿宋" w:cs="仿宋"/>
                <w:sz w:val="22"/>
                <w:szCs w:val="22"/>
                <w:highlight w:val="none"/>
                <w:lang w:val="en-US" w:eastAsia="zh-CN"/>
              </w:rPr>
              <w:t>）</w:t>
            </w:r>
          </w:p>
        </w:tc>
      </w:tr>
      <w:tr w14:paraId="594AE2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trPr>
        <w:tc>
          <w:tcPr>
            <w:tcW w:w="423" w:type="pct"/>
            <w:vAlign w:val="center"/>
          </w:tcPr>
          <w:p w14:paraId="317BE52E">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w:t>
            </w:r>
          </w:p>
        </w:tc>
        <w:tc>
          <w:tcPr>
            <w:tcW w:w="1628" w:type="pct"/>
            <w:vAlign w:val="center"/>
          </w:tcPr>
          <w:p w14:paraId="6FB51036">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一次性使用直线型切割吻合器</w:t>
            </w:r>
          </w:p>
        </w:tc>
        <w:tc>
          <w:tcPr>
            <w:tcW w:w="658" w:type="pct"/>
            <w:vAlign w:val="center"/>
          </w:tcPr>
          <w:p w14:paraId="06B8DDB5">
            <w:pPr>
              <w:pStyle w:val="16"/>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710</w:t>
            </w:r>
          </w:p>
        </w:tc>
        <w:tc>
          <w:tcPr>
            <w:tcW w:w="529" w:type="pct"/>
            <w:vAlign w:val="center"/>
          </w:tcPr>
          <w:p w14:paraId="3F54CF4F">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把</w:t>
            </w:r>
          </w:p>
        </w:tc>
        <w:tc>
          <w:tcPr>
            <w:tcW w:w="868" w:type="pct"/>
            <w:vAlign w:val="center"/>
          </w:tcPr>
          <w:p w14:paraId="4EBCE0DA">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按计划</w:t>
            </w:r>
          </w:p>
        </w:tc>
        <w:tc>
          <w:tcPr>
            <w:tcW w:w="891" w:type="pct"/>
            <w:vAlign w:val="center"/>
          </w:tcPr>
          <w:p w14:paraId="693310DE">
            <w:pPr>
              <w:pStyle w:val="16"/>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据实结算</w:t>
            </w:r>
          </w:p>
        </w:tc>
      </w:tr>
      <w:tr w14:paraId="6108C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trPr>
        <w:tc>
          <w:tcPr>
            <w:tcW w:w="423" w:type="pct"/>
            <w:vAlign w:val="center"/>
          </w:tcPr>
          <w:p w14:paraId="4BDBB657">
            <w:pPr>
              <w:pStyle w:val="16"/>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w:t>
            </w:r>
          </w:p>
        </w:tc>
        <w:tc>
          <w:tcPr>
            <w:tcW w:w="1628" w:type="pct"/>
            <w:vAlign w:val="center"/>
          </w:tcPr>
          <w:p w14:paraId="099B1480">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一次性使用直线型切割吻合器组件</w:t>
            </w:r>
          </w:p>
        </w:tc>
        <w:tc>
          <w:tcPr>
            <w:tcW w:w="658" w:type="pct"/>
            <w:vAlign w:val="center"/>
          </w:tcPr>
          <w:p w14:paraId="76FE2014">
            <w:pPr>
              <w:pStyle w:val="16"/>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340</w:t>
            </w:r>
          </w:p>
        </w:tc>
        <w:tc>
          <w:tcPr>
            <w:tcW w:w="529" w:type="pct"/>
            <w:vAlign w:val="center"/>
          </w:tcPr>
          <w:p w14:paraId="0D231D37">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个</w:t>
            </w:r>
          </w:p>
        </w:tc>
        <w:tc>
          <w:tcPr>
            <w:tcW w:w="868" w:type="pct"/>
            <w:vAlign w:val="center"/>
          </w:tcPr>
          <w:p w14:paraId="605103D6">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按计划</w:t>
            </w:r>
          </w:p>
        </w:tc>
        <w:tc>
          <w:tcPr>
            <w:tcW w:w="891" w:type="pct"/>
            <w:vAlign w:val="center"/>
          </w:tcPr>
          <w:p w14:paraId="4ECD96DE">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据实结算</w:t>
            </w:r>
          </w:p>
        </w:tc>
      </w:tr>
      <w:tr w14:paraId="2A97EA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trPr>
        <w:tc>
          <w:tcPr>
            <w:tcW w:w="423" w:type="pct"/>
            <w:vAlign w:val="center"/>
          </w:tcPr>
          <w:p w14:paraId="7792FE5A">
            <w:pPr>
              <w:pStyle w:val="16"/>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3</w:t>
            </w:r>
          </w:p>
        </w:tc>
        <w:tc>
          <w:tcPr>
            <w:tcW w:w="1628" w:type="pct"/>
            <w:vAlign w:val="center"/>
          </w:tcPr>
          <w:p w14:paraId="4A75536A">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一次性使用弧形切割吻合器</w:t>
            </w:r>
          </w:p>
        </w:tc>
        <w:tc>
          <w:tcPr>
            <w:tcW w:w="658" w:type="pct"/>
            <w:vAlign w:val="center"/>
          </w:tcPr>
          <w:p w14:paraId="6E76BBFD">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1250</w:t>
            </w:r>
          </w:p>
        </w:tc>
        <w:tc>
          <w:tcPr>
            <w:tcW w:w="529" w:type="pct"/>
            <w:vAlign w:val="center"/>
          </w:tcPr>
          <w:p w14:paraId="6D48ABAB">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把</w:t>
            </w:r>
          </w:p>
        </w:tc>
        <w:tc>
          <w:tcPr>
            <w:tcW w:w="868" w:type="pct"/>
            <w:vAlign w:val="center"/>
          </w:tcPr>
          <w:p w14:paraId="7CC15F7C">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按计划</w:t>
            </w:r>
          </w:p>
        </w:tc>
        <w:tc>
          <w:tcPr>
            <w:tcW w:w="891" w:type="pct"/>
            <w:vAlign w:val="center"/>
          </w:tcPr>
          <w:p w14:paraId="6F39D703">
            <w:pPr>
              <w:pStyle w:val="16"/>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据实结算</w:t>
            </w:r>
          </w:p>
        </w:tc>
      </w:tr>
    </w:tbl>
    <w:p w14:paraId="3ED4B764">
      <w:pPr>
        <w:pStyle w:val="16"/>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4A0A30C8">
      <w:pPr>
        <w:pStyle w:val="16"/>
        <w:jc w:val="left"/>
        <w:outlineLvl w:val="1"/>
        <w:rPr>
          <w:rFonts w:hint="eastAsia" w:ascii="仿宋" w:hAnsi="仿宋" w:eastAsia="仿宋" w:cs="仿宋"/>
          <w:b/>
          <w:sz w:val="28"/>
          <w:highlight w:val="none"/>
        </w:rPr>
      </w:pPr>
      <w:r>
        <w:rPr>
          <w:rFonts w:hint="eastAsia" w:ascii="仿宋" w:hAnsi="仿宋" w:eastAsia="仿宋" w:cs="仿宋"/>
          <w:b/>
          <w:sz w:val="28"/>
          <w:highlight w:val="none"/>
        </w:rPr>
        <w:t>3.2.技术要求</w:t>
      </w:r>
    </w:p>
    <w:p w14:paraId="1993209D">
      <w:pPr>
        <w:pStyle w:val="16"/>
        <w:jc w:val="left"/>
        <w:rPr>
          <w:rFonts w:hint="default"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采购包1：</w:t>
      </w:r>
    </w:p>
    <w:tbl>
      <w:tblPr>
        <w:tblStyle w:val="14"/>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469"/>
        <w:gridCol w:w="1551"/>
        <w:gridCol w:w="2529"/>
        <w:gridCol w:w="2487"/>
      </w:tblGrid>
      <w:tr w14:paraId="0642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3F709A24">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编号</w:t>
            </w:r>
          </w:p>
        </w:tc>
        <w:tc>
          <w:tcPr>
            <w:tcW w:w="1469" w:type="dxa"/>
            <w:noWrap w:val="0"/>
            <w:vAlign w:val="center"/>
          </w:tcPr>
          <w:p w14:paraId="79F02AD8">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标的名称</w:t>
            </w:r>
          </w:p>
        </w:tc>
        <w:tc>
          <w:tcPr>
            <w:tcW w:w="1551" w:type="dxa"/>
            <w:noWrap w:val="0"/>
            <w:vAlign w:val="center"/>
          </w:tcPr>
          <w:p w14:paraId="47E676DF">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医保耗材代码</w:t>
            </w:r>
          </w:p>
        </w:tc>
        <w:tc>
          <w:tcPr>
            <w:tcW w:w="2529" w:type="dxa"/>
            <w:noWrap w:val="0"/>
            <w:vAlign w:val="center"/>
          </w:tcPr>
          <w:p w14:paraId="7D3127BE">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★预期用途/适应症</w:t>
            </w:r>
          </w:p>
        </w:tc>
        <w:tc>
          <w:tcPr>
            <w:tcW w:w="2487" w:type="dxa"/>
            <w:noWrap w:val="0"/>
            <w:vAlign w:val="center"/>
          </w:tcPr>
          <w:p w14:paraId="02B211EB">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预期使用的规格型号</w:t>
            </w:r>
          </w:p>
        </w:tc>
      </w:tr>
      <w:tr w14:paraId="719D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59D2B5BE">
            <w:pPr>
              <w:pStyle w:val="16"/>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w:t>
            </w:r>
          </w:p>
        </w:tc>
        <w:tc>
          <w:tcPr>
            <w:tcW w:w="1469" w:type="dxa"/>
            <w:noWrap w:val="0"/>
            <w:vAlign w:val="center"/>
          </w:tcPr>
          <w:p w14:paraId="072351C3">
            <w:pPr>
              <w:pStyle w:val="16"/>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一次性使用直线型切割吻合器</w:t>
            </w:r>
          </w:p>
        </w:tc>
        <w:tc>
          <w:tcPr>
            <w:tcW w:w="1551" w:type="dxa"/>
            <w:noWrap w:val="0"/>
            <w:vAlign w:val="center"/>
          </w:tcPr>
          <w:p w14:paraId="0BC06F95">
            <w:pPr>
              <w:pStyle w:val="16"/>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C110201172</w:t>
            </w:r>
          </w:p>
        </w:tc>
        <w:tc>
          <w:tcPr>
            <w:tcW w:w="2529" w:type="dxa"/>
            <w:noWrap w:val="0"/>
            <w:vAlign w:val="center"/>
          </w:tcPr>
          <w:p w14:paraId="03B480A2">
            <w:pPr>
              <w:pStyle w:val="16"/>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用于开腹胃肠道手术，闭合、吻合胃肠道。</w:t>
            </w:r>
          </w:p>
        </w:tc>
        <w:tc>
          <w:tcPr>
            <w:tcW w:w="2487" w:type="dxa"/>
            <w:noWrap w:val="0"/>
            <w:vAlign w:val="center"/>
          </w:tcPr>
          <w:p w14:paraId="116F40A1">
            <w:pPr>
              <w:pStyle w:val="16"/>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吻合长度80mm（±10mm）</w:t>
            </w:r>
          </w:p>
        </w:tc>
      </w:tr>
      <w:tr w14:paraId="3B71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198B0EC7">
            <w:pPr>
              <w:pStyle w:val="16"/>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w:t>
            </w:r>
          </w:p>
        </w:tc>
        <w:tc>
          <w:tcPr>
            <w:tcW w:w="1469" w:type="dxa"/>
            <w:noWrap w:val="0"/>
            <w:vAlign w:val="center"/>
          </w:tcPr>
          <w:p w14:paraId="34103D0E">
            <w:pPr>
              <w:pStyle w:val="16"/>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一次性使用直线型切割吻合器组件</w:t>
            </w:r>
          </w:p>
        </w:tc>
        <w:tc>
          <w:tcPr>
            <w:tcW w:w="1551" w:type="dxa"/>
            <w:noWrap w:val="0"/>
            <w:vAlign w:val="center"/>
          </w:tcPr>
          <w:p w14:paraId="3D1B35E7">
            <w:pPr>
              <w:pStyle w:val="16"/>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C110202173</w:t>
            </w:r>
          </w:p>
        </w:tc>
        <w:tc>
          <w:tcPr>
            <w:tcW w:w="2529" w:type="dxa"/>
            <w:noWrap w:val="0"/>
            <w:vAlign w:val="center"/>
          </w:tcPr>
          <w:p w14:paraId="6663C428">
            <w:pPr>
              <w:pStyle w:val="16"/>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用于开腹胃肠道手术，闭合、吻合胃肠道。</w:t>
            </w:r>
          </w:p>
        </w:tc>
        <w:tc>
          <w:tcPr>
            <w:tcW w:w="2487" w:type="dxa"/>
            <w:noWrap w:val="0"/>
            <w:vAlign w:val="center"/>
          </w:tcPr>
          <w:p w14:paraId="0C9E7261">
            <w:pPr>
              <w:pStyle w:val="16"/>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吻合长度80mm（±10mm）</w:t>
            </w:r>
          </w:p>
        </w:tc>
      </w:tr>
      <w:tr w14:paraId="0B7B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65938C03">
            <w:pPr>
              <w:pStyle w:val="16"/>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3</w:t>
            </w:r>
          </w:p>
        </w:tc>
        <w:tc>
          <w:tcPr>
            <w:tcW w:w="1469" w:type="dxa"/>
            <w:noWrap w:val="0"/>
            <w:vAlign w:val="center"/>
          </w:tcPr>
          <w:p w14:paraId="03B02235">
            <w:pPr>
              <w:pStyle w:val="16"/>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一次性使用弧形切割吻合器</w:t>
            </w:r>
          </w:p>
        </w:tc>
        <w:tc>
          <w:tcPr>
            <w:tcW w:w="1551" w:type="dxa"/>
            <w:noWrap w:val="0"/>
            <w:vAlign w:val="center"/>
          </w:tcPr>
          <w:p w14:paraId="1D02CF2F">
            <w:pPr>
              <w:pStyle w:val="16"/>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C110203172</w:t>
            </w:r>
          </w:p>
        </w:tc>
        <w:tc>
          <w:tcPr>
            <w:tcW w:w="2529" w:type="dxa"/>
            <w:noWrap w:val="0"/>
            <w:vAlign w:val="center"/>
          </w:tcPr>
          <w:p w14:paraId="1CDCF31E">
            <w:pPr>
              <w:pStyle w:val="16"/>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用于开腹直肠手术，切割、闭合直肠远端。</w:t>
            </w:r>
          </w:p>
        </w:tc>
        <w:tc>
          <w:tcPr>
            <w:tcW w:w="2487" w:type="dxa"/>
            <w:noWrap w:val="0"/>
            <w:vAlign w:val="center"/>
          </w:tcPr>
          <w:p w14:paraId="0DC0C56A">
            <w:pPr>
              <w:pStyle w:val="16"/>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415mm±10mm</w:t>
            </w:r>
          </w:p>
        </w:tc>
      </w:tr>
    </w:tbl>
    <w:p w14:paraId="7606DD60">
      <w:pPr>
        <w:pStyle w:val="16"/>
        <w:jc w:val="left"/>
        <w:outlineLvl w:val="9"/>
        <w:rPr>
          <w:rFonts w:hint="eastAsia" w:ascii="仿宋" w:hAnsi="仿宋" w:eastAsia="仿宋" w:cs="仿宋"/>
          <w:color w:val="auto"/>
          <w:kern w:val="2"/>
          <w:sz w:val="20"/>
          <w:szCs w:val="20"/>
          <w:highlight w:val="none"/>
          <w:shd w:val="clear" w:color="auto" w:fill="auto"/>
          <w:lang w:val="en-US" w:eastAsia="zh-CN" w:bidi="ar-SA"/>
        </w:rPr>
      </w:pPr>
      <w:r>
        <w:rPr>
          <w:rFonts w:hint="eastAsia" w:ascii="仿宋" w:hAnsi="仿宋" w:eastAsia="仿宋" w:cs="仿宋"/>
          <w:color w:val="auto"/>
          <w:kern w:val="2"/>
          <w:sz w:val="20"/>
          <w:szCs w:val="20"/>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0E295DF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1"/>
        <w:rPr>
          <w:rFonts w:hint="eastAsia" w:ascii="仿宋" w:hAnsi="仿宋" w:eastAsia="仿宋" w:cs="仿宋"/>
          <w:b/>
          <w:bCs/>
          <w:color w:val="000000"/>
          <w:sz w:val="28"/>
          <w:szCs w:val="28"/>
          <w:highlight w:val="none"/>
          <w:lang w:val="en-US"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p>
    <w:p w14:paraId="2287051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一、挂网需求</w:t>
      </w:r>
    </w:p>
    <w:p w14:paraId="1DC6F82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本项目所有标的均须提供挂网产品。</w:t>
      </w:r>
    </w:p>
    <w:p w14:paraId="2DA7094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default"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注：本项目中所指“挂网产品”，为“四川省药品和医用耗材招采管理系统”中已挂网产品（不含正在挂网和备案的产品）。</w:t>
      </w:r>
    </w:p>
    <w:p w14:paraId="414A60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二、样品要求</w:t>
      </w:r>
    </w:p>
    <w:p w14:paraId="10949172">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default"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5D6CB2A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2.提交的样品不符合实际需求或存在原理错误则视为无效响应。</w:t>
      </w:r>
    </w:p>
    <w:p w14:paraId="462D438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3.本项目竞选人提供的样品，应与该竞选人响应文件保持一致（具体参考《医疗器械说明书和标签管理规定》）。</w:t>
      </w:r>
    </w:p>
    <w:p w14:paraId="495B5EF8">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49BBC9C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bCs/>
          <w:color w:val="000000"/>
          <w:sz w:val="24"/>
          <w:szCs w:val="24"/>
          <w:highlight w:val="none"/>
          <w:lang w:val="en-US" w:eastAsia="zh-CN"/>
        </w:rPr>
      </w:pPr>
      <w:r>
        <w:rPr>
          <w:rFonts w:hint="eastAsia" w:ascii="仿宋" w:hAnsi="仿宋" w:eastAsia="仿宋" w:cs="仿宋"/>
          <w:b/>
          <w:sz w:val="24"/>
          <w:szCs w:val="24"/>
          <w:highlight w:val="none"/>
          <w:lang w:val="en-US" w:eastAsia="zh-CN"/>
        </w:rPr>
        <w:t>三、商务</w:t>
      </w:r>
      <w:r>
        <w:rPr>
          <w:rFonts w:hint="eastAsia" w:ascii="仿宋" w:hAnsi="仿宋" w:eastAsia="仿宋" w:cs="仿宋"/>
          <w:b/>
          <w:sz w:val="24"/>
          <w:szCs w:val="24"/>
          <w:highlight w:val="none"/>
        </w:rPr>
        <w:t>要求</w:t>
      </w:r>
    </w:p>
    <w:p w14:paraId="0179FE8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kern w:val="2"/>
          <w:sz w:val="21"/>
          <w:szCs w:val="21"/>
          <w:highlight w:val="none"/>
          <w:shd w:val="clear" w:color="auto" w:fill="auto"/>
          <w:lang w:val="en-US" w:eastAsia="zh-CN" w:bidi="ar-SA"/>
        </w:rPr>
        <w:t>（一）</w:t>
      </w:r>
      <w:r>
        <w:rPr>
          <w:rFonts w:hint="eastAsia" w:ascii="仿宋" w:hAnsi="仿宋" w:eastAsia="仿宋" w:cs="仿宋"/>
          <w:b/>
          <w:bCs/>
          <w:color w:val="auto"/>
          <w:sz w:val="21"/>
          <w:szCs w:val="21"/>
          <w:highlight w:val="none"/>
          <w:shd w:val="clear" w:color="auto" w:fill="auto"/>
          <w:lang w:val="en-US" w:eastAsia="zh-CN"/>
        </w:rPr>
        <w:t>服务期限</w:t>
      </w:r>
    </w:p>
    <w:p w14:paraId="2C09DC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1"/>
          <w:szCs w:val="21"/>
          <w:highlight w:val="none"/>
          <w:shd w:val="clear" w:color="auto" w:fill="auto"/>
        </w:rPr>
      </w:pPr>
      <w:r>
        <w:rPr>
          <w:rFonts w:hint="eastAsia" w:ascii="仿宋" w:hAnsi="仿宋" w:eastAsia="仿宋" w:cs="仿宋"/>
          <w:color w:val="000000"/>
          <w:kern w:val="0"/>
          <w:sz w:val="21"/>
          <w:szCs w:val="21"/>
          <w:highlight w:val="none"/>
          <w:lang w:val="en-US" w:eastAsia="zh-CN" w:bidi="zh-CN"/>
        </w:rPr>
        <w:t>1.每次配送时间必须严格按照采购人配送通知执行，中选人应于收到通知后2小时内响应。急用产品的配送时间不应超过4小时，一般产品原则上的配送时间不应超过2个工作日。</w:t>
      </w:r>
    </w:p>
    <w:p w14:paraId="6C2FBF1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（二）服务地点</w:t>
      </w:r>
    </w:p>
    <w:p w14:paraId="7C6AAC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color w:val="000000"/>
          <w:kern w:val="0"/>
          <w:sz w:val="21"/>
          <w:szCs w:val="21"/>
          <w:highlight w:val="none"/>
          <w:lang w:val="en-US" w:eastAsia="zh-CN" w:bidi="zh-CN"/>
        </w:rPr>
        <w:t>1.内江市第一人民医院指定地点。</w:t>
      </w:r>
    </w:p>
    <w:p w14:paraId="30D0C83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kern w:val="2"/>
          <w:sz w:val="21"/>
          <w:szCs w:val="21"/>
          <w:highlight w:val="none"/>
          <w:shd w:val="clear" w:color="auto" w:fill="auto"/>
          <w:lang w:val="en-US" w:eastAsia="zh-CN" w:bidi="ar-SA"/>
        </w:rPr>
        <w:t>（三）</w:t>
      </w:r>
      <w:r>
        <w:rPr>
          <w:rFonts w:hint="eastAsia" w:ascii="仿宋" w:hAnsi="仿宋" w:eastAsia="仿宋" w:cs="仿宋"/>
          <w:b/>
          <w:bCs/>
          <w:color w:val="auto"/>
          <w:sz w:val="21"/>
          <w:szCs w:val="21"/>
          <w:highlight w:val="none"/>
          <w:shd w:val="clear" w:color="auto" w:fill="auto"/>
          <w:lang w:val="en-US" w:eastAsia="zh-CN"/>
        </w:rPr>
        <w:t>付款方式和条件</w:t>
      </w:r>
    </w:p>
    <w:p w14:paraId="4FB6552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shd w:val="clear" w:color="auto" w:fill="auto"/>
          <w:lang w:val="en-US" w:eastAsia="zh-CN" w:bidi="zh-CN"/>
        </w:rPr>
      </w:pPr>
      <w:r>
        <w:rPr>
          <w:rFonts w:hint="eastAsia" w:ascii="仿宋" w:hAnsi="仿宋" w:eastAsia="仿宋" w:cs="仿宋"/>
          <w:color w:val="000000"/>
          <w:kern w:val="0"/>
          <w:sz w:val="21"/>
          <w:szCs w:val="21"/>
          <w:highlight w:val="none"/>
          <w:shd w:val="clear" w:color="auto" w:fill="auto"/>
          <w:lang w:val="en-US" w:eastAsia="zh-CN" w:bidi="zh-CN"/>
        </w:rPr>
        <w:t>1.结算方式：双方同意以采购人财务制度规定的付款时间及付款要求进行结算，投标人已完全了解并清楚采购人的财务制度，投标人对采购人财务制度规定的付款要求及付款时间不持异议。</w:t>
      </w:r>
    </w:p>
    <w:p w14:paraId="3339AF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shd w:val="clear" w:color="auto" w:fill="auto"/>
          <w:lang w:val="en-US" w:eastAsia="zh-CN" w:bidi="zh-CN"/>
        </w:rPr>
      </w:pPr>
      <w:r>
        <w:rPr>
          <w:rFonts w:hint="eastAsia" w:ascii="仿宋" w:hAnsi="仿宋" w:eastAsia="仿宋" w:cs="仿宋"/>
          <w:color w:val="000000"/>
          <w:kern w:val="0"/>
          <w:sz w:val="21"/>
          <w:szCs w:val="21"/>
          <w:highlight w:val="none"/>
          <w:shd w:val="clear" w:color="auto" w:fill="auto"/>
          <w:lang w:val="en-US" w:eastAsia="zh-CN" w:bidi="zh-CN"/>
        </w:rPr>
        <w:t>2.成交价格包含成本、运输、包装、培训、配送、伴随服务、税费及其他附加费用等一切费用。</w:t>
      </w:r>
    </w:p>
    <w:p w14:paraId="193703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val="0"/>
          <w:bCs w:val="0"/>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shd w:val="clear" w:color="auto" w:fill="auto"/>
          <w:lang w:val="en-US" w:eastAsia="zh-CN" w:bidi="zh-CN"/>
        </w:rPr>
        <w:t>3.若本项目中限定了标的数量或金额，中标人应严格按照响应内容执行，采购人有权拒绝支付超出响应范围的任何内容。</w:t>
      </w:r>
    </w:p>
    <w:p w14:paraId="2BD79B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kern w:val="2"/>
          <w:sz w:val="21"/>
          <w:szCs w:val="21"/>
          <w:highlight w:val="none"/>
          <w:shd w:val="clear" w:color="auto" w:fill="auto"/>
          <w:lang w:val="en-US" w:eastAsia="zh-CN" w:bidi="ar-SA"/>
        </w:rPr>
        <w:t>（四）验收、交付标准和方法</w:t>
      </w:r>
    </w:p>
    <w:p w14:paraId="729D0E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1.按照《财政部关于进一步加强政府采购需求和履约验收管理的指导意见》（财库〔2016〕205号）的要求以及采购人招标文件的质量要求和技术指标、中选人的投标文件及承诺（若有）、国家（行业）标准、采购合同约定标准进行验收；</w:t>
      </w:r>
    </w:p>
    <w:p w14:paraId="564DC9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2.验收时如发现所配送的货物有短装、次品、损坏或其他不符合验收标准的，采购人应做出详尽的现场记录，此现场记录或备忘录可用作补充、缺失和更换损坏部件的有效证据，由此产生的时间延误与有关费用由中选人承担，验收期限相应顺延；</w:t>
      </w:r>
    </w:p>
    <w:p w14:paraId="2008D4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3.若所配送货物不符合验收标准，中选人经过2次更换后仍不能达到验收质量标准，则视为验收不合格，采购人有权全部（或部分）退货或解除合同。接到采购人退货通知，中选人除应及时运走采购人退还的货物外（若涉及费用或损失均由中选人自行承担），还应向采购人承担相应的违约责任。</w:t>
      </w:r>
    </w:p>
    <w:p w14:paraId="54E601A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4.其他未尽事宜严格按照《财政部关于进一步加强政府采购需求和履约验收管理的指导意见》（财库〔2016〕205号）的要求进行。</w:t>
      </w:r>
    </w:p>
    <w:p w14:paraId="26FEA8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5.所配送耗材的技术参数与性能指标中涉及到的国家标准、行业标准或地方标准，若有最新标准以最新标准为准。</w:t>
      </w:r>
    </w:p>
    <w:p w14:paraId="171693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kern w:val="2"/>
          <w:sz w:val="21"/>
          <w:szCs w:val="21"/>
          <w:highlight w:val="none"/>
          <w:shd w:val="clear" w:color="auto" w:fill="auto"/>
          <w:lang w:val="en-US" w:eastAsia="zh-CN" w:bidi="ar-SA"/>
        </w:rPr>
        <w:t>（五）</w:t>
      </w:r>
      <w:r>
        <w:rPr>
          <w:rFonts w:hint="eastAsia" w:ascii="仿宋" w:hAnsi="仿宋" w:eastAsia="仿宋" w:cs="仿宋"/>
          <w:b/>
          <w:bCs/>
          <w:color w:val="auto"/>
          <w:sz w:val="21"/>
          <w:szCs w:val="21"/>
          <w:highlight w:val="none"/>
          <w:shd w:val="clear" w:color="auto" w:fill="auto"/>
          <w:lang w:val="en-US" w:eastAsia="zh-CN"/>
        </w:rPr>
        <w:t>售后服务</w:t>
      </w:r>
    </w:p>
    <w:p w14:paraId="62E29DA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1.要求中选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2F5C44B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2.要求中选人指派专人负责与采购人联系售后服务事宜；在投标文件中列明售后联系人及联系电话。</w:t>
      </w:r>
    </w:p>
    <w:p w14:paraId="74CF86C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3.要求中选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0BEE46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4.耗材临近失效期，采购人提前三个月向中选人提出更换，中选人须在耗材失效前一个月更换完毕，不得以任何理由进行推诿。</w:t>
      </w:r>
    </w:p>
    <w:p w14:paraId="412FA53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5.中选人必须随货提供其具备医疗器械经营企业的有关合法有效的手续（包括但不限于）：</w:t>
      </w:r>
    </w:p>
    <w:p w14:paraId="32FB058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5.1产品所涉及逐级授权经销商的医疗器械生产（经营）许可证或生产（经营）企业备案表；</w:t>
      </w:r>
    </w:p>
    <w:p w14:paraId="7814E0D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5.2医疗器械产品注册证或备案凭证；</w:t>
      </w:r>
    </w:p>
    <w:p w14:paraId="6C579CA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5.3医疗器械生产企业许可证；</w:t>
      </w:r>
    </w:p>
    <w:p w14:paraId="746325A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5.4经销商获得的委托授权书（逐级）；</w:t>
      </w:r>
    </w:p>
    <w:p w14:paraId="3935606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5.5产品所涉及逐级授权经销商的企业法人营业执照。</w:t>
      </w:r>
    </w:p>
    <w:p w14:paraId="34E8C13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5.6采购人要求提供的相关资料。</w:t>
      </w:r>
    </w:p>
    <w:p w14:paraId="7B66920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选人或厂家原因无法按上述要求执行的，则采购人可以部分解除采购合同。</w:t>
      </w:r>
    </w:p>
    <w:p w14:paraId="4771CA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kern w:val="2"/>
          <w:sz w:val="21"/>
          <w:szCs w:val="21"/>
          <w:highlight w:val="none"/>
          <w:shd w:val="clear" w:color="auto" w:fill="auto"/>
          <w:lang w:val="en-US" w:eastAsia="zh-CN" w:bidi="ar-SA"/>
        </w:rPr>
      </w:pPr>
      <w:r>
        <w:rPr>
          <w:rFonts w:hint="eastAsia" w:ascii="仿宋" w:hAnsi="仿宋" w:eastAsia="仿宋" w:cs="仿宋"/>
          <w:b/>
          <w:bCs/>
          <w:color w:val="auto"/>
          <w:kern w:val="2"/>
          <w:sz w:val="21"/>
          <w:szCs w:val="21"/>
          <w:highlight w:val="none"/>
          <w:shd w:val="clear" w:color="auto" w:fill="auto"/>
          <w:lang w:val="en-US" w:eastAsia="zh-CN" w:bidi="ar-SA"/>
        </w:rPr>
        <w:t>（六）配送医用耗材质量保证</w:t>
      </w:r>
    </w:p>
    <w:p w14:paraId="2C8EB5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1.中标人须配送原厂生产的未曾使用过的、全新的合格的货品（含配套配件等），表面无划伤、无破损痕迹，且权属清楚，不得侵害他人的合法权利。</w:t>
      </w:r>
    </w:p>
    <w:p w14:paraId="5E56F5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2.中标人所配送货品须符合或优于国家（行业）标准、本项目招标文件要求及投标文件响应内容。当投标文件响应内容与招标文件要求不一致时，以文件响应内容为准。当投标文件响应内容与国家标准、行业标准（若有）不一致时，以较高标准为准。</w:t>
      </w:r>
    </w:p>
    <w:p w14:paraId="43711E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3.中标人配送货品的设计技术专利、外形专利等均应符合我国有关法律法规及行业标准，凡因以上问题与第三方发生的任何纠纷，由中标人承担全部责任，中标人还应负责赔偿采购人由此而遭受的全部损失。</w:t>
      </w:r>
    </w:p>
    <w:p w14:paraId="61DA8AC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4.中标人保证其配送货品的安全可靠性。在正常使用下不应对使用者造成任何人身伤害，如因产品质量或标识不明确而对使用者造成损失的，由中标人承担相应责任。</w:t>
      </w:r>
    </w:p>
    <w:p w14:paraId="105F2E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0E454C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6.中标人保证所供耗材有效期不低于1年，自通过最终验收之日起，确保采购人在使用耗材的过程中安全、有效。</w:t>
      </w:r>
    </w:p>
    <w:p w14:paraId="2B85027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kern w:val="2"/>
          <w:sz w:val="21"/>
          <w:szCs w:val="21"/>
          <w:highlight w:val="none"/>
          <w:shd w:val="clear" w:color="auto" w:fill="auto"/>
          <w:lang w:val="en-US" w:eastAsia="zh-CN" w:bidi="ar-SA"/>
        </w:rPr>
      </w:pPr>
      <w:r>
        <w:rPr>
          <w:rFonts w:hint="eastAsia" w:ascii="仿宋" w:hAnsi="仿宋" w:eastAsia="仿宋" w:cs="仿宋"/>
          <w:b/>
          <w:bCs/>
          <w:color w:val="auto"/>
          <w:kern w:val="2"/>
          <w:sz w:val="21"/>
          <w:szCs w:val="21"/>
          <w:highlight w:val="none"/>
          <w:shd w:val="clear" w:color="auto" w:fill="auto"/>
          <w:lang w:val="en-US" w:eastAsia="zh-CN" w:bidi="ar-SA"/>
        </w:rPr>
        <w:t>（七）包装和运输</w:t>
      </w:r>
    </w:p>
    <w:p w14:paraId="43ACEBD6">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center"/>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 xml:space="preserve">1.成交投标人须严格按照《商品包装政府采购需求标准(试行)》、《快递包装政府采购需 求标准(试行)》(财办库〔2020〕123 号)的要求进行产品及相关快递服务的包装。 </w:t>
      </w:r>
    </w:p>
    <w:p w14:paraId="0727974D">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center"/>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166FE984">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center"/>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3.本次采购的标的物需要运输，投标人在合同约定的时间内将标的物运输至合同约定地点。</w:t>
      </w:r>
    </w:p>
    <w:p w14:paraId="2B141E9A">
      <w:pPr>
        <w:pStyle w:val="16"/>
        <w:spacing w:line="240" w:lineRule="auto"/>
        <w:jc w:val="left"/>
        <w:outlineLvl w:val="1"/>
        <w:rPr>
          <w:rFonts w:hint="eastAsia" w:ascii="仿宋" w:hAnsi="仿宋" w:eastAsia="仿宋" w:cs="仿宋"/>
          <w:highlight w:val="none"/>
          <w:lang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3.4.其他要求</w:t>
      </w:r>
    </w:p>
    <w:p w14:paraId="17DC5BEB">
      <w:pPr>
        <w:pStyle w:val="16"/>
        <w:keepNext w:val="0"/>
        <w:keepLines w:val="0"/>
        <w:pageBreakBefore w:val="0"/>
        <w:kinsoku/>
        <w:wordWrap/>
        <w:overflowPunct/>
        <w:topLinePunct w:val="0"/>
        <w:autoSpaceDE/>
        <w:autoSpaceDN/>
        <w:bidi w:val="0"/>
        <w:adjustRightInd/>
        <w:snapToGrid/>
        <w:spacing w:line="240" w:lineRule="auto"/>
        <w:jc w:val="left"/>
        <w:outlineLvl w:val="9"/>
        <w:rPr>
          <w:rFonts w:hint="default"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一、</w:t>
      </w:r>
      <w:r>
        <w:rPr>
          <w:rFonts w:hint="default" w:ascii="仿宋" w:hAnsi="仿宋" w:eastAsia="仿宋" w:cs="仿宋"/>
          <w:b/>
          <w:sz w:val="24"/>
          <w:szCs w:val="24"/>
          <w:highlight w:val="none"/>
          <w:lang w:val="en-US" w:eastAsia="zh-CN"/>
        </w:rPr>
        <w:t>违约责任与解决争议的方法：</w:t>
      </w:r>
    </w:p>
    <w:p w14:paraId="66343366">
      <w:pPr>
        <w:pStyle w:val="16"/>
        <w:keepNext w:val="0"/>
        <w:keepLines w:val="0"/>
        <w:pageBreakBefore w:val="0"/>
        <w:kinsoku/>
        <w:wordWrap/>
        <w:overflowPunct/>
        <w:topLinePunct w:val="0"/>
        <w:autoSpaceDE/>
        <w:autoSpaceDN/>
        <w:bidi w:val="0"/>
        <w:adjustRightInd/>
        <w:snapToGrid/>
        <w:spacing w:line="240" w:lineRule="auto"/>
        <w:ind w:firstLine="480" w:firstLineChars="0"/>
        <w:jc w:val="left"/>
        <w:outlineLvl w:val="9"/>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（一）违约责任</w:t>
      </w:r>
    </w:p>
    <w:p w14:paraId="3F354ECD">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1.中选人逾期15日内不能配送采购人所需医用耗材的，应向采购人每日支付该批次货款千分之三的违约金。</w:t>
      </w:r>
    </w:p>
    <w:p w14:paraId="16F1C6DA">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2.中选人逾期15日及以上不能配送以上产品的，视同不能供货，须向采购人支付该批次货款的10%的违约金，同时采购人可以单方面解除采购合同。</w:t>
      </w:r>
    </w:p>
    <w:p w14:paraId="061D5FD7">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3.若因中选人原因造成采购人被监管部门通报三次及以上或者造成采购人违规采购，采购人有权单方面解除采购合同。同时，采购人有权要求中选人支付该批货物价款20%的违约金。</w:t>
      </w:r>
    </w:p>
    <w:p w14:paraId="20C75FBF">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4.中选人销售的产品若发生严重医疗不良事件或被国家法定检测机构检测为不合格产品，视为中选人违约导致不能实现采购合同目的，采购人有权单方面解除采购合同，并要求中选人限期收回不合格产品，并要求中选人需承担合同价款20%的违约金，违约金不足以弥补采购人损失的，中选人还应当补足。即使产品已经验收入库（或安装调试完毕）后，采购人才发现产品为不合格产品的，也视为中选人违约，中选人应当承担本条约定的责任。同时采购人有权退回库存产品。</w:t>
      </w:r>
    </w:p>
    <w:p w14:paraId="70F3F99F">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5.若根据法律规定或协议约定产生采购人退、换货或拒绝收货情形，由中选人承担退换货产生的各项税、费或其他支出。</w:t>
      </w:r>
    </w:p>
    <w:p w14:paraId="79BF073F">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6.中选人不能保证及时供货，除应当向采购人承担违约责任外，采购人仍有权单方面解除采购合同。</w:t>
      </w:r>
    </w:p>
    <w:p w14:paraId="42490BDA">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7.因中选人配送的产品不合格造成采购人或第三人人身损害或财产损失的，由中选人承担赔偿责任。</w:t>
      </w:r>
    </w:p>
    <w:p w14:paraId="6122FD8B">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8.</w:t>
      </w:r>
      <w:r>
        <w:rPr>
          <w:rFonts w:hint="eastAsia" w:ascii="仿宋" w:hAnsi="仿宋" w:eastAsia="仿宋" w:cs="仿宋"/>
          <w:color w:val="000000"/>
          <w:kern w:val="0"/>
          <w:sz w:val="21"/>
          <w:szCs w:val="21"/>
          <w:highlight w:val="none"/>
          <w:u w:val="none"/>
          <w:lang w:val="en-US" w:eastAsia="zh-CN" w:bidi="ar"/>
        </w:rPr>
        <w:tab/>
      </w:r>
      <w:r>
        <w:rPr>
          <w:rFonts w:hint="eastAsia" w:ascii="仿宋" w:hAnsi="仿宋" w:eastAsia="仿宋" w:cs="仿宋"/>
          <w:color w:val="000000"/>
          <w:kern w:val="0"/>
          <w:sz w:val="21"/>
          <w:szCs w:val="21"/>
          <w:highlight w:val="none"/>
          <w:u w:val="none"/>
          <w:lang w:val="en-US" w:eastAsia="zh-CN" w:bidi="ar"/>
        </w:rPr>
        <w:t>若因中选人原因造成采购人挂网执行存在问题以及线上支付不及时、造成采购人未挂网采购或者存在其他问题的，中选人应承担违约责任，且采购人有权要求中选人支付该批货物价款20%的违约金，采购人有权单方面解除合同。</w:t>
      </w:r>
    </w:p>
    <w:p w14:paraId="31538B76">
      <w:pPr>
        <w:pStyle w:val="16"/>
        <w:keepNext w:val="0"/>
        <w:keepLines w:val="0"/>
        <w:pageBreakBefore w:val="0"/>
        <w:kinsoku/>
        <w:wordWrap/>
        <w:overflowPunct/>
        <w:topLinePunct w:val="0"/>
        <w:autoSpaceDE/>
        <w:autoSpaceDN/>
        <w:bidi w:val="0"/>
        <w:adjustRightInd/>
        <w:snapToGrid/>
        <w:spacing w:line="240" w:lineRule="auto"/>
        <w:ind w:firstLine="480" w:firstLineChars="0"/>
        <w:jc w:val="left"/>
        <w:outlineLvl w:val="9"/>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（二）解决合同纠纷的方式</w:t>
      </w:r>
    </w:p>
    <w:p w14:paraId="1BD0F2FE">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1.因货物的质量问题发生的争议，由法定质量鉴定机构或其认可的质量鉴定机构进行质量鉴定。货物符合标准的，鉴定费由采购人承担；货物不符合质量标准的，鉴定费由中选人承担。</w:t>
      </w:r>
    </w:p>
    <w:p w14:paraId="32B706BA">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default"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2.合同履行期间，若双方发生争议，可协商或由有关部门调解解决，协商或调解不成的，可向采购人住所地人民法院依法提起诉讼解决。</w:t>
      </w:r>
    </w:p>
    <w:p w14:paraId="12D6A15E">
      <w:pPr>
        <w:pStyle w:val="16"/>
        <w:keepNext w:val="0"/>
        <w:keepLines w:val="0"/>
        <w:pageBreakBefore w:val="0"/>
        <w:kinsoku/>
        <w:wordWrap/>
        <w:overflowPunct/>
        <w:topLinePunct w:val="0"/>
        <w:autoSpaceDE/>
        <w:autoSpaceDN/>
        <w:bidi w:val="0"/>
        <w:adjustRightInd/>
        <w:snapToGrid/>
        <w:spacing w:line="240" w:lineRule="auto"/>
        <w:ind w:firstLine="480"/>
        <w:jc w:val="left"/>
        <w:outlineLvl w:val="9"/>
        <w:rPr>
          <w:rFonts w:hint="default"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二、</w:t>
      </w:r>
      <w:r>
        <w:rPr>
          <w:rFonts w:hint="default" w:ascii="Times New Roman" w:hAnsi="Times New Roman" w:eastAsia="仿宋" w:cs="Times New Roman"/>
          <w:b/>
          <w:bCs/>
          <w:color w:val="auto"/>
          <w:sz w:val="24"/>
          <w:szCs w:val="24"/>
          <w:highlight w:val="none"/>
          <w:shd w:val="clear" w:color="auto" w:fill="auto"/>
        </w:rPr>
        <w:t>合同履行期限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3年</w:t>
      </w:r>
    </w:p>
    <w:p w14:paraId="6DD4E6F1">
      <w:pPr>
        <w:pStyle w:val="16"/>
        <w:keepNext w:val="0"/>
        <w:keepLines w:val="0"/>
        <w:pageBreakBefore w:val="0"/>
        <w:kinsoku/>
        <w:wordWrap/>
        <w:overflowPunct/>
        <w:topLinePunct w:val="0"/>
        <w:autoSpaceDE/>
        <w:autoSpaceDN/>
        <w:bidi w:val="0"/>
        <w:adjustRightInd/>
        <w:snapToGrid/>
        <w:spacing w:line="240" w:lineRule="auto"/>
        <w:ind w:firstLine="480"/>
        <w:jc w:val="left"/>
        <w:outlineLvl w:val="9"/>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三、</w:t>
      </w:r>
      <w:r>
        <w:rPr>
          <w:rFonts w:hint="default" w:ascii="仿宋" w:hAnsi="仿宋" w:eastAsia="仿宋" w:cs="仿宋"/>
          <w:b/>
          <w:bCs/>
          <w:sz w:val="24"/>
          <w:szCs w:val="24"/>
          <w:highlight w:val="none"/>
          <w:lang w:val="en-US" w:eastAsia="zh-CN"/>
        </w:rPr>
        <w:t>履约验收程序</w:t>
      </w:r>
      <w:r>
        <w:rPr>
          <w:rFonts w:hint="eastAsia" w:ascii="仿宋" w:hAnsi="仿宋" w:eastAsia="仿宋" w:cs="仿宋"/>
          <w:b/>
          <w:bCs/>
          <w:sz w:val="24"/>
          <w:szCs w:val="24"/>
          <w:highlight w:val="none"/>
          <w:lang w:val="en-US" w:eastAsia="zh-CN"/>
        </w:rPr>
        <w:t>：</w:t>
      </w:r>
      <w:r>
        <w:rPr>
          <w:rFonts w:hint="eastAsia" w:ascii="仿宋" w:hAnsi="仿宋" w:eastAsia="仿宋" w:cs="仿宋"/>
          <w:color w:val="000000"/>
          <w:kern w:val="0"/>
          <w:sz w:val="22"/>
          <w:szCs w:val="22"/>
          <w:highlight w:val="none"/>
          <w:u w:val="none"/>
          <w:lang w:val="en-US" w:eastAsia="zh-CN" w:bidi="ar"/>
        </w:rPr>
        <w:t>分批次验收。</w:t>
      </w:r>
    </w:p>
    <w:p w14:paraId="5317F98D">
      <w:pPr>
        <w:pStyle w:val="16"/>
        <w:keepNext w:val="0"/>
        <w:keepLines w:val="0"/>
        <w:pageBreakBefore w:val="0"/>
        <w:kinsoku/>
        <w:wordWrap/>
        <w:overflowPunct/>
        <w:topLinePunct w:val="0"/>
        <w:autoSpaceDE/>
        <w:autoSpaceDN/>
        <w:bidi w:val="0"/>
        <w:adjustRightInd/>
        <w:snapToGrid/>
        <w:spacing w:line="240" w:lineRule="auto"/>
        <w:ind w:firstLine="480"/>
        <w:jc w:val="left"/>
        <w:outlineLvl w:val="9"/>
        <w:rPr>
          <w:rFonts w:hint="eastAsia" w:ascii="仿宋" w:hAnsi="仿宋" w:eastAsia="仿宋" w:cs="仿宋"/>
          <w:highlight w:val="none"/>
          <w:lang w:val="en-US" w:eastAsia="zh-CN"/>
        </w:rPr>
      </w:pPr>
      <w:r>
        <w:rPr>
          <w:rFonts w:hint="eastAsia" w:ascii="仿宋" w:hAnsi="仿宋" w:eastAsia="仿宋" w:cs="仿宋"/>
          <w:b/>
          <w:bCs/>
          <w:sz w:val="24"/>
          <w:szCs w:val="24"/>
          <w:highlight w:val="none"/>
          <w:lang w:val="en-US" w:eastAsia="zh-CN"/>
        </w:rPr>
        <w:t>四、</w:t>
      </w:r>
      <w:r>
        <w:rPr>
          <w:rFonts w:hint="default" w:ascii="仿宋" w:hAnsi="仿宋" w:eastAsia="仿宋" w:cs="仿宋"/>
          <w:b/>
          <w:bCs/>
          <w:sz w:val="24"/>
          <w:szCs w:val="24"/>
          <w:highlight w:val="none"/>
          <w:lang w:val="en-US" w:eastAsia="zh-CN"/>
        </w:rPr>
        <w:t>履约验收时间：</w:t>
      </w:r>
      <w:r>
        <w:rPr>
          <w:rFonts w:hint="default" w:ascii="仿宋" w:hAnsi="仿宋" w:eastAsia="仿宋" w:cs="仿宋"/>
          <w:color w:val="000000"/>
          <w:kern w:val="0"/>
          <w:sz w:val="21"/>
          <w:szCs w:val="21"/>
          <w:highlight w:val="none"/>
          <w:u w:val="none"/>
          <w:lang w:val="en-US" w:eastAsia="zh-CN" w:bidi="ar"/>
        </w:rPr>
        <w:t>合同期限内，根据采购人要求分批次送货，完成送货、验收入库视为验收完成</w:t>
      </w:r>
      <w:r>
        <w:rPr>
          <w:rFonts w:hint="eastAsia" w:ascii="仿宋" w:hAnsi="仿宋" w:eastAsia="仿宋" w:cs="仿宋"/>
          <w:color w:val="000000"/>
          <w:kern w:val="0"/>
          <w:sz w:val="21"/>
          <w:szCs w:val="21"/>
          <w:highlight w:val="none"/>
          <w:u w:val="none"/>
          <w:lang w:val="en-US" w:eastAsia="zh-CN" w:bidi="ar"/>
        </w:rPr>
        <w:t>。</w:t>
      </w:r>
      <w:r>
        <w:rPr>
          <w:rFonts w:hint="eastAsia" w:ascii="仿宋" w:hAnsi="仿宋" w:eastAsia="仿宋" w:cs="仿宋"/>
          <w:color w:val="000000"/>
          <w:kern w:val="0"/>
          <w:sz w:val="22"/>
          <w:szCs w:val="22"/>
          <w:highlight w:val="none"/>
          <w:u w:val="none"/>
          <w:lang w:val="en-US" w:eastAsia="zh-CN" w:bidi="ar"/>
        </w:rPr>
        <w:br w:type="textWrapping"/>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E38F8">
    <w:pPr>
      <w:tabs>
        <w:tab w:val="center" w:pos="4153"/>
        <w:tab w:val="right" w:pos="8306"/>
      </w:tabs>
      <w:autoSpaceDE/>
      <w:autoSpaceDN/>
      <w:snapToGrid w:val="0"/>
      <w:spacing w:before="0" w:after="0" w:line="240" w:lineRule="auto"/>
      <w:ind w:left="0" w:firstLine="0"/>
      <w:jc w:val="center"/>
      <w:rPr>
        <w:rFonts w:hint="default" w:ascii="宋体" w:hAnsi="宋体" w:eastAsia="宋体"/>
        <w:b w:val="0"/>
        <w:w w:val="100"/>
        <w:sz w:val="28"/>
        <w:lang w:val="en-US"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598584">
                          <w:pPr>
                            <w:pStyle w:val="6"/>
                            <w:ind w:firstLine="0"/>
                            <w:jc w:val="both"/>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8598584">
                    <w:pPr>
                      <w:pStyle w:val="6"/>
                      <w:ind w:firstLine="0"/>
                      <w:jc w:val="both"/>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CEFA4">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3MTFjMjM1ZDYzZTRmYzVmZTY3MjY5MTY2NDZkMWYifQ=="/>
  </w:docVars>
  <w:rsids>
    <w:rsidRoot w:val="53B52B8D"/>
    <w:rsid w:val="0014406D"/>
    <w:rsid w:val="00643BE3"/>
    <w:rsid w:val="008F6EB2"/>
    <w:rsid w:val="00916F19"/>
    <w:rsid w:val="00E865C2"/>
    <w:rsid w:val="01293268"/>
    <w:rsid w:val="01B63226"/>
    <w:rsid w:val="01FF0067"/>
    <w:rsid w:val="02263300"/>
    <w:rsid w:val="022E44A8"/>
    <w:rsid w:val="02C60985"/>
    <w:rsid w:val="02FF77AD"/>
    <w:rsid w:val="040C6A6B"/>
    <w:rsid w:val="04341FE5"/>
    <w:rsid w:val="043612A4"/>
    <w:rsid w:val="04664EF6"/>
    <w:rsid w:val="04D77C28"/>
    <w:rsid w:val="05092FAB"/>
    <w:rsid w:val="05121820"/>
    <w:rsid w:val="05C2377E"/>
    <w:rsid w:val="06255BC2"/>
    <w:rsid w:val="067803E8"/>
    <w:rsid w:val="069112FC"/>
    <w:rsid w:val="07382205"/>
    <w:rsid w:val="07EB0E6D"/>
    <w:rsid w:val="08D4742C"/>
    <w:rsid w:val="09B5765B"/>
    <w:rsid w:val="0AC736EC"/>
    <w:rsid w:val="0AD85524"/>
    <w:rsid w:val="0B3F7726"/>
    <w:rsid w:val="0C47010B"/>
    <w:rsid w:val="0C9E7D09"/>
    <w:rsid w:val="0D413ECD"/>
    <w:rsid w:val="0D463014"/>
    <w:rsid w:val="0E0B7D94"/>
    <w:rsid w:val="0FD15139"/>
    <w:rsid w:val="0FE73815"/>
    <w:rsid w:val="102B2719"/>
    <w:rsid w:val="109C7D47"/>
    <w:rsid w:val="10C304B2"/>
    <w:rsid w:val="11031903"/>
    <w:rsid w:val="113D545F"/>
    <w:rsid w:val="1147105D"/>
    <w:rsid w:val="11621F4A"/>
    <w:rsid w:val="11DC7A7D"/>
    <w:rsid w:val="12633CFA"/>
    <w:rsid w:val="1268169E"/>
    <w:rsid w:val="128A66CE"/>
    <w:rsid w:val="12E97780"/>
    <w:rsid w:val="13C51D73"/>
    <w:rsid w:val="13E062A6"/>
    <w:rsid w:val="14B95815"/>
    <w:rsid w:val="14ED03CB"/>
    <w:rsid w:val="151443CC"/>
    <w:rsid w:val="159A3ED7"/>
    <w:rsid w:val="16702E8A"/>
    <w:rsid w:val="16B7331F"/>
    <w:rsid w:val="177F50ED"/>
    <w:rsid w:val="178A7F7B"/>
    <w:rsid w:val="179130B8"/>
    <w:rsid w:val="17FC0E28"/>
    <w:rsid w:val="186802BC"/>
    <w:rsid w:val="1A7053CB"/>
    <w:rsid w:val="1B065B6B"/>
    <w:rsid w:val="1B99078D"/>
    <w:rsid w:val="1BB235FD"/>
    <w:rsid w:val="1C2344FA"/>
    <w:rsid w:val="1CD06430"/>
    <w:rsid w:val="1D7E4EDD"/>
    <w:rsid w:val="1D884F5D"/>
    <w:rsid w:val="1DE63A32"/>
    <w:rsid w:val="1DE859FC"/>
    <w:rsid w:val="1EA23DFC"/>
    <w:rsid w:val="1EBD4792"/>
    <w:rsid w:val="1F8D5CDD"/>
    <w:rsid w:val="208E288A"/>
    <w:rsid w:val="21197C6C"/>
    <w:rsid w:val="22884158"/>
    <w:rsid w:val="230E1A60"/>
    <w:rsid w:val="23F8626D"/>
    <w:rsid w:val="24066BDB"/>
    <w:rsid w:val="26437C73"/>
    <w:rsid w:val="26550564"/>
    <w:rsid w:val="26690D6F"/>
    <w:rsid w:val="26AD2913"/>
    <w:rsid w:val="26C41FB9"/>
    <w:rsid w:val="27A95222"/>
    <w:rsid w:val="28C3509B"/>
    <w:rsid w:val="28CA642A"/>
    <w:rsid w:val="293B10D5"/>
    <w:rsid w:val="29986528"/>
    <w:rsid w:val="2A8A2314"/>
    <w:rsid w:val="2AA40102"/>
    <w:rsid w:val="2AA84549"/>
    <w:rsid w:val="2AD23F4E"/>
    <w:rsid w:val="2B164D8C"/>
    <w:rsid w:val="2B2C517A"/>
    <w:rsid w:val="2B966A97"/>
    <w:rsid w:val="2BC90C1A"/>
    <w:rsid w:val="2BF33F6D"/>
    <w:rsid w:val="2CC96B0A"/>
    <w:rsid w:val="2CCC490D"/>
    <w:rsid w:val="2D244B08"/>
    <w:rsid w:val="2E096542"/>
    <w:rsid w:val="2E1F3D67"/>
    <w:rsid w:val="2EE32F55"/>
    <w:rsid w:val="2F4D1B62"/>
    <w:rsid w:val="2FBC45F2"/>
    <w:rsid w:val="2FC242FE"/>
    <w:rsid w:val="3069477A"/>
    <w:rsid w:val="30C478CA"/>
    <w:rsid w:val="30F71D86"/>
    <w:rsid w:val="31546D36"/>
    <w:rsid w:val="316311C9"/>
    <w:rsid w:val="32024E86"/>
    <w:rsid w:val="32235858"/>
    <w:rsid w:val="33236AB4"/>
    <w:rsid w:val="333E257D"/>
    <w:rsid w:val="336249A3"/>
    <w:rsid w:val="33942C7E"/>
    <w:rsid w:val="33964B59"/>
    <w:rsid w:val="33E22E17"/>
    <w:rsid w:val="3488606C"/>
    <w:rsid w:val="35267CCA"/>
    <w:rsid w:val="35482CFE"/>
    <w:rsid w:val="35B30245"/>
    <w:rsid w:val="35CF1523"/>
    <w:rsid w:val="35ED51E6"/>
    <w:rsid w:val="366D602C"/>
    <w:rsid w:val="373D070E"/>
    <w:rsid w:val="3768578B"/>
    <w:rsid w:val="37ED63AE"/>
    <w:rsid w:val="387D7377"/>
    <w:rsid w:val="39350844"/>
    <w:rsid w:val="3995213C"/>
    <w:rsid w:val="39DD7084"/>
    <w:rsid w:val="3A557B1D"/>
    <w:rsid w:val="3ADA1F62"/>
    <w:rsid w:val="3B5B5BFF"/>
    <w:rsid w:val="3C274986"/>
    <w:rsid w:val="3CC072BA"/>
    <w:rsid w:val="3D6A7D83"/>
    <w:rsid w:val="3D6C7658"/>
    <w:rsid w:val="3D820C29"/>
    <w:rsid w:val="3E3C527C"/>
    <w:rsid w:val="3F2F6815"/>
    <w:rsid w:val="3FCE0156"/>
    <w:rsid w:val="41DA0EF9"/>
    <w:rsid w:val="439C6C42"/>
    <w:rsid w:val="43A55671"/>
    <w:rsid w:val="442F13DF"/>
    <w:rsid w:val="44466E54"/>
    <w:rsid w:val="453B7EEF"/>
    <w:rsid w:val="463F7D88"/>
    <w:rsid w:val="47951DF6"/>
    <w:rsid w:val="48343468"/>
    <w:rsid w:val="484E2BC5"/>
    <w:rsid w:val="48A26623"/>
    <w:rsid w:val="48E96000"/>
    <w:rsid w:val="49B7295E"/>
    <w:rsid w:val="49D92519"/>
    <w:rsid w:val="4A340808"/>
    <w:rsid w:val="4B6A3CBB"/>
    <w:rsid w:val="4C81421B"/>
    <w:rsid w:val="4C942727"/>
    <w:rsid w:val="4D2E0486"/>
    <w:rsid w:val="4E2F6BAB"/>
    <w:rsid w:val="4E7D7917"/>
    <w:rsid w:val="4EB40E5E"/>
    <w:rsid w:val="4EEB6D71"/>
    <w:rsid w:val="4F990C45"/>
    <w:rsid w:val="4FBE21B8"/>
    <w:rsid w:val="4FFE311C"/>
    <w:rsid w:val="50206D4C"/>
    <w:rsid w:val="508C2093"/>
    <w:rsid w:val="51021BD1"/>
    <w:rsid w:val="51346287"/>
    <w:rsid w:val="51F15F26"/>
    <w:rsid w:val="533478B9"/>
    <w:rsid w:val="53B52B8D"/>
    <w:rsid w:val="53B94AB6"/>
    <w:rsid w:val="5402266C"/>
    <w:rsid w:val="5427215A"/>
    <w:rsid w:val="54436F0C"/>
    <w:rsid w:val="55A26CFC"/>
    <w:rsid w:val="56334F4E"/>
    <w:rsid w:val="56B440F1"/>
    <w:rsid w:val="57445493"/>
    <w:rsid w:val="57465A19"/>
    <w:rsid w:val="57D165DD"/>
    <w:rsid w:val="57E9128B"/>
    <w:rsid w:val="58375CCE"/>
    <w:rsid w:val="584D1FF7"/>
    <w:rsid w:val="58922210"/>
    <w:rsid w:val="593178B0"/>
    <w:rsid w:val="59350E2A"/>
    <w:rsid w:val="5A65278E"/>
    <w:rsid w:val="5AA06C20"/>
    <w:rsid w:val="5AC62645"/>
    <w:rsid w:val="5BB4249E"/>
    <w:rsid w:val="5DB744C7"/>
    <w:rsid w:val="5DBD0627"/>
    <w:rsid w:val="5E03770C"/>
    <w:rsid w:val="5E5D6E1D"/>
    <w:rsid w:val="5FF11317"/>
    <w:rsid w:val="60A60CDE"/>
    <w:rsid w:val="60B46379"/>
    <w:rsid w:val="611D2893"/>
    <w:rsid w:val="619D5FBE"/>
    <w:rsid w:val="62426A55"/>
    <w:rsid w:val="62500BE5"/>
    <w:rsid w:val="62861BF5"/>
    <w:rsid w:val="644F0FB6"/>
    <w:rsid w:val="64D43BB1"/>
    <w:rsid w:val="66F552F2"/>
    <w:rsid w:val="67A61201"/>
    <w:rsid w:val="67F62F3A"/>
    <w:rsid w:val="688A34E5"/>
    <w:rsid w:val="69130330"/>
    <w:rsid w:val="69A707F3"/>
    <w:rsid w:val="6ACA56B2"/>
    <w:rsid w:val="6B6123BB"/>
    <w:rsid w:val="6B7D0981"/>
    <w:rsid w:val="6B8579B3"/>
    <w:rsid w:val="6BD9385B"/>
    <w:rsid w:val="6BFF7765"/>
    <w:rsid w:val="6C2216A6"/>
    <w:rsid w:val="6C6E38A3"/>
    <w:rsid w:val="6E087D91"/>
    <w:rsid w:val="6E25196D"/>
    <w:rsid w:val="6EC1398F"/>
    <w:rsid w:val="6F27670C"/>
    <w:rsid w:val="6F2F0361"/>
    <w:rsid w:val="6FBC477A"/>
    <w:rsid w:val="70710506"/>
    <w:rsid w:val="72312FBC"/>
    <w:rsid w:val="723F4D5F"/>
    <w:rsid w:val="72FA0E6D"/>
    <w:rsid w:val="730B2E93"/>
    <w:rsid w:val="73CB617F"/>
    <w:rsid w:val="73FD6130"/>
    <w:rsid w:val="747F58E7"/>
    <w:rsid w:val="74D53759"/>
    <w:rsid w:val="75265D63"/>
    <w:rsid w:val="75947170"/>
    <w:rsid w:val="759B3A01"/>
    <w:rsid w:val="77F79321"/>
    <w:rsid w:val="780F7366"/>
    <w:rsid w:val="7872306D"/>
    <w:rsid w:val="78AA53A8"/>
    <w:rsid w:val="7B1F5CAB"/>
    <w:rsid w:val="7B5D0302"/>
    <w:rsid w:val="7BF344C5"/>
    <w:rsid w:val="7BFC48BF"/>
    <w:rsid w:val="7CDB05B8"/>
    <w:rsid w:val="7D7653AD"/>
    <w:rsid w:val="7E711DCA"/>
    <w:rsid w:val="7EAA3560"/>
    <w:rsid w:val="7FFA5AA3"/>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sz w:val="18"/>
      <w:szCs w:val="20"/>
    </w:rPr>
  </w:style>
  <w:style w:type="paragraph" w:styleId="3">
    <w:name w:val="Body Text"/>
    <w:basedOn w:val="1"/>
    <w:next w:val="1"/>
    <w:qFormat/>
    <w:uiPriority w:val="99"/>
    <w:pPr>
      <w:snapToGrid w:val="0"/>
      <w:spacing w:line="440" w:lineRule="exact"/>
    </w:pPr>
    <w:rPr>
      <w:rFonts w:ascii="Times New Roman" w:eastAsia="Times New Roman"/>
      <w:sz w:val="20"/>
    </w:rPr>
  </w:style>
  <w:style w:type="paragraph" w:styleId="4">
    <w:name w:val="Plain Text"/>
    <w:basedOn w:val="1"/>
    <w:next w:val="1"/>
    <w:qFormat/>
    <w:uiPriority w:val="0"/>
    <w:pPr>
      <w:widowControl w:val="0"/>
      <w:autoSpaceDE w:val="0"/>
      <w:autoSpaceDN w:val="0"/>
      <w:spacing w:before="0" w:after="0" w:line="240" w:lineRule="auto"/>
      <w:ind w:left="0" w:firstLine="5632"/>
      <w:jc w:val="both"/>
    </w:pPr>
  </w:style>
  <w:style w:type="paragraph" w:styleId="5">
    <w:name w:val="Body Text Indent 2"/>
    <w:basedOn w:val="1"/>
    <w:qFormat/>
    <w:uiPriority w:val="0"/>
    <w:pPr>
      <w:spacing w:after="120" w:line="480" w:lineRule="auto"/>
      <w:ind w:left="420" w:leftChars="200"/>
    </w:pPr>
  </w:style>
  <w:style w:type="paragraph" w:styleId="6">
    <w:name w:val="footer"/>
    <w:basedOn w:val="1"/>
    <w:next w:val="4"/>
    <w:qFormat/>
    <w:uiPriority w:val="0"/>
    <w:pPr>
      <w:tabs>
        <w:tab w:val="center" w:pos="4153"/>
        <w:tab w:val="right" w:pos="8306"/>
      </w:tabs>
      <w:snapToGrid w:val="0"/>
      <w:jc w:val="left"/>
    </w:pPr>
    <w:rPr>
      <w:sz w:val="18"/>
    </w:rPr>
  </w:style>
  <w:style w:type="paragraph" w:styleId="7">
    <w:name w:val="header"/>
    <w:basedOn w:val="1"/>
    <w:next w:val="1"/>
    <w:qFormat/>
    <w:uiPriority w:val="0"/>
    <w:pPr>
      <w:pBdr>
        <w:bottom w:val="single" w:color="auto" w:sz="6" w:space="1"/>
      </w:pBdr>
      <w:tabs>
        <w:tab w:val="center" w:pos="4153"/>
        <w:tab w:val="right" w:pos="8306"/>
      </w:tabs>
      <w:snapToGrid w:val="0"/>
      <w:jc w:val="center"/>
    </w:pPr>
    <w:rPr>
      <w:sz w:val="18"/>
      <w:szCs w:val="20"/>
    </w:rPr>
  </w:style>
  <w:style w:type="paragraph" w:styleId="8">
    <w:name w:val="toc 1"/>
    <w:basedOn w:val="1"/>
    <w:next w:val="1"/>
    <w:unhideWhenUsed/>
    <w:qFormat/>
    <w:uiPriority w:val="0"/>
    <w:pPr>
      <w:tabs>
        <w:tab w:val="right" w:leader="dot" w:pos="9345"/>
      </w:tabs>
      <w:spacing w:before="120" w:after="120" w:line="620" w:lineRule="exact"/>
      <w:ind w:right="-105" w:rightChars="-50"/>
      <w:jc w:val="left"/>
    </w:pPr>
    <w:rPr>
      <w:b/>
      <w:bCs/>
      <w:caps/>
      <w:sz w:val="20"/>
      <w:szCs w:val="20"/>
    </w:rPr>
  </w:style>
  <w:style w:type="paragraph" w:styleId="9">
    <w:name w:val="Subtitle"/>
    <w:basedOn w:val="1"/>
    <w:next w:val="1"/>
    <w:qFormat/>
    <w:uiPriority w:val="0"/>
    <w:pPr>
      <w:spacing w:before="240" w:after="60" w:line="312" w:lineRule="auto"/>
      <w:jc w:val="center"/>
      <w:outlineLvl w:val="1"/>
    </w:pPr>
    <w:rPr>
      <w:rFonts w:ascii="Arial" w:hAnsi="Arial" w:eastAsia="宋体" w:cs="Arial"/>
      <w:b/>
      <w:bCs/>
      <w:kern w:val="28"/>
      <w:sz w:val="32"/>
      <w:szCs w:val="32"/>
    </w:rPr>
  </w:style>
  <w:style w:type="paragraph" w:styleId="10">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1">
    <w:name w:val="index 1"/>
    <w:basedOn w:val="1"/>
    <w:next w:val="1"/>
    <w:qFormat/>
    <w:uiPriority w:val="0"/>
    <w:pPr>
      <w:widowControl w:val="0"/>
      <w:autoSpaceDE/>
      <w:autoSpaceDN/>
      <w:spacing w:before="0" w:after="0" w:line="240" w:lineRule="auto"/>
      <w:ind w:left="0" w:firstLine="5632"/>
      <w:jc w:val="both"/>
    </w:pPr>
  </w:style>
  <w:style w:type="paragraph" w:styleId="12">
    <w:name w:val="Body Text First Indent"/>
    <w:basedOn w:val="3"/>
    <w:next w:val="1"/>
    <w:qFormat/>
    <w:uiPriority w:val="99"/>
    <w:pPr>
      <w:tabs>
        <w:tab w:val="left" w:pos="780"/>
      </w:tabs>
      <w:spacing w:after="120"/>
      <w:ind w:firstLine="420" w:firstLineChars="1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null3"/>
    <w:hidden/>
    <w:qFormat/>
    <w:uiPriority w:val="0"/>
    <w:rPr>
      <w:rFonts w:hint="eastAsia" w:asciiTheme="minorHAnsi" w:hAnsiTheme="minorHAnsi" w:eastAsiaTheme="minorEastAsia" w:cstheme="minorBidi"/>
      <w:lang w:val="en-US" w:eastAsia="zh-Hans"/>
    </w:rPr>
  </w:style>
  <w:style w:type="paragraph" w:customStyle="1" w:styleId="1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8">
    <w:name w:val="Table Paragraph"/>
    <w:basedOn w:val="1"/>
    <w:qFormat/>
    <w:uiPriority w:val="99"/>
    <w:rPr>
      <w:rFonts w:ascii="宋体" w:hAnsi="宋体" w:cs="宋体"/>
    </w:rPr>
  </w:style>
  <w:style w:type="character" w:customStyle="1" w:styleId="19">
    <w:name w:val="NormalCharacter"/>
    <w:semiHidden/>
    <w:qFormat/>
    <w:uiPriority w:val="0"/>
    <w:rPr>
      <w:kern w:val="2"/>
      <w:sz w:val="21"/>
      <w:szCs w:val="24"/>
      <w:lang w:val="en-US" w:eastAsia="zh-CN" w:bidi="ar-SA"/>
    </w:rPr>
  </w:style>
  <w:style w:type="paragraph" w:customStyle="1" w:styleId="20">
    <w:name w:val="样式 首行缩进:  2 字符"/>
    <w:basedOn w:val="1"/>
    <w:qFormat/>
    <w:uiPriority w:val="0"/>
    <w:pPr>
      <w:spacing w:line="400" w:lineRule="exact"/>
      <w:ind w:firstLine="200" w:firstLineChars="200"/>
    </w:pPr>
    <w:rPr>
      <w:rFonts w:cs="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23618</Words>
  <Characters>24414</Characters>
  <Lines>0</Lines>
  <Paragraphs>0</Paragraphs>
  <TotalTime>5</TotalTime>
  <ScaleCrop>false</ScaleCrop>
  <LinksUpToDate>false</LinksUpToDate>
  <CharactersWithSpaces>26389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耗奇害死猫</cp:lastModifiedBy>
  <cp:lastPrinted>2026-06-12T08:17:00Z</cp:lastPrinted>
  <dcterms:modified xsi:type="dcterms:W3CDTF">2026-07-06T09:26:19Z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593A2DA0B8474DD4B29C47FD155EAC65_13</vt:lpwstr>
  </property>
  <property fmtid="{D5CDD505-2E9C-101B-9397-08002B2CF9AE}" pid="4" name="KSOTemplateDocerSaveRecord">
    <vt:lpwstr>eyJoZGlkIjoiYzI4N2ZiMDIxNTgzYTE0ZGY4Y2VmOTFiZDBiZGUxMjUiLCJ1c2VySWQiOiIyOTgyNDc5NTEifQ==</vt:lpwstr>
  </property>
</Properties>
</file>