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FD7F7">
      <w:pPr>
        <w:jc w:val="center"/>
        <w:outlineLvl w:val="0"/>
        <w:rPr>
          <w:rFonts w:hint="eastAsia" w:ascii="仿宋" w:hAnsi="仿宋" w:eastAsia="仿宋" w:cs="仿宋"/>
          <w:highlight w:val="none"/>
          <w:lang w:val="en-US" w:eastAsia="zh-Hans"/>
        </w:rPr>
      </w:pPr>
      <w:bookmarkStart w:id="0" w:name="_Toc27801"/>
      <w:r>
        <w:rPr>
          <w:rFonts w:hint="eastAsia" w:ascii="仿宋" w:hAnsi="仿宋" w:eastAsia="仿宋" w:cs="仿宋"/>
          <w:b/>
          <w:sz w:val="36"/>
          <w:highlight w:val="none"/>
          <w:lang w:val="en-US" w:eastAsia="zh-Hans"/>
        </w:rPr>
        <w:t>第三章 技术、服务及其他要求</w:t>
      </w:r>
      <w:bookmarkEnd w:id="0"/>
    </w:p>
    <w:p w14:paraId="21317468">
      <w:pPr>
        <w:ind w:firstLine="480"/>
        <w:jc w:val="left"/>
        <w:rPr>
          <w:rFonts w:hint="eastAsia" w:ascii="仿宋" w:hAnsi="仿宋" w:eastAsia="仿宋" w:cs="仿宋"/>
          <w:highlight w:val="none"/>
          <w:lang w:val="en-US" w:eastAsia="zh-Hans"/>
        </w:rPr>
      </w:pPr>
      <w:r>
        <w:rPr>
          <w:rFonts w:hint="eastAsia" w:ascii="仿宋" w:hAnsi="仿宋" w:eastAsia="仿宋" w:cs="仿宋"/>
          <w:highlight w:val="none"/>
          <w:lang w:val="en-US" w:eastAsia="zh-Hans"/>
        </w:rPr>
        <w:t>（注：本章的技术、服务及其他要求中，带“★”的要求为实质性要求。</w:t>
      </w:r>
      <w:r>
        <w:rPr>
          <w:rFonts w:hint="eastAsia" w:ascii="仿宋" w:hAnsi="仿宋" w:eastAsia="仿宋" w:cs="仿宋"/>
          <w:highlight w:val="none"/>
          <w:lang w:val="en-US" w:eastAsia="zh-CN"/>
        </w:rPr>
        <w:t>采购人</w:t>
      </w:r>
      <w:r>
        <w:rPr>
          <w:rFonts w:hint="eastAsia" w:ascii="仿宋" w:hAnsi="仿宋" w:eastAsia="仿宋" w:cs="仿宋"/>
          <w:highlight w:val="none"/>
          <w:lang w:val="en-US" w:eastAsia="zh-Hans"/>
        </w:rPr>
        <w:t>、代理机构应当根据项目实际要求合理设定，并在第五章符合性审查中明确响应要求。）</w:t>
      </w:r>
    </w:p>
    <w:p w14:paraId="6D79B93C">
      <w:pPr>
        <w:jc w:val="left"/>
        <w:outlineLvl w:val="1"/>
        <w:rPr>
          <w:rFonts w:hint="eastAsia" w:ascii="仿宋" w:hAnsi="仿宋" w:eastAsia="仿宋" w:cs="仿宋"/>
          <w:highlight w:val="none"/>
          <w:lang w:val="en-US" w:eastAsia="zh-CN"/>
        </w:rPr>
      </w:pPr>
      <w:r>
        <w:rPr>
          <w:rFonts w:hint="eastAsia" w:ascii="仿宋" w:hAnsi="仿宋" w:eastAsia="仿宋" w:cs="仿宋"/>
          <w:b/>
          <w:sz w:val="28"/>
          <w:highlight w:val="none"/>
          <w:lang w:val="en-US" w:eastAsia="zh-Hans"/>
        </w:rPr>
        <w:t>3.1.</w:t>
      </w:r>
      <w:r>
        <w:rPr>
          <w:rFonts w:hint="eastAsia" w:ascii="仿宋" w:hAnsi="仿宋" w:eastAsia="仿宋" w:cs="仿宋"/>
          <w:b/>
          <w:sz w:val="28"/>
          <w:highlight w:val="none"/>
          <w:lang w:val="en-US" w:eastAsia="zh-CN"/>
        </w:rPr>
        <w:t>标的情况</w:t>
      </w:r>
    </w:p>
    <w:p w14:paraId="64CEE34F">
      <w:pPr>
        <w:jc w:val="left"/>
        <w:outlineLvl w:val="2"/>
        <w:rPr>
          <w:rFonts w:hint="eastAsia" w:ascii="仿宋" w:hAnsi="仿宋" w:eastAsia="仿宋" w:cs="仿宋"/>
          <w:b/>
          <w:bCs/>
          <w:i w:val="0"/>
          <w:iCs w:val="0"/>
          <w:lang w:val="en-US" w:eastAsia="zh-Hans"/>
        </w:rPr>
      </w:pPr>
      <w:r>
        <w:rPr>
          <w:rFonts w:hint="eastAsia" w:ascii="仿宋" w:hAnsi="仿宋" w:eastAsia="仿宋" w:cs="仿宋"/>
          <w:b/>
          <w:bCs/>
          <w:i w:val="0"/>
          <w:iCs w:val="0"/>
          <w:sz w:val="24"/>
          <w:szCs w:val="24"/>
          <w:lang w:val="en-US" w:eastAsia="zh-Hans"/>
        </w:rPr>
        <w:t>采购包1：</w:t>
      </w:r>
    </w:p>
    <w:tbl>
      <w:tblPr>
        <w:tblStyle w:val="3"/>
        <w:tblW w:w="851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1"/>
        <w:gridCol w:w="629"/>
        <w:gridCol w:w="2253"/>
        <w:gridCol w:w="1484"/>
        <w:gridCol w:w="1111"/>
        <w:gridCol w:w="1222"/>
        <w:gridCol w:w="1327"/>
      </w:tblGrid>
      <w:tr w14:paraId="27FD5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491" w:type="dxa"/>
            <w:vAlign w:val="center"/>
          </w:tcPr>
          <w:p w14:paraId="7B0C79E7">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包号</w:t>
            </w:r>
          </w:p>
        </w:tc>
        <w:tc>
          <w:tcPr>
            <w:tcW w:w="629" w:type="dxa"/>
            <w:vAlign w:val="center"/>
          </w:tcPr>
          <w:p w14:paraId="31966D4C">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编号</w:t>
            </w:r>
          </w:p>
        </w:tc>
        <w:tc>
          <w:tcPr>
            <w:tcW w:w="2253" w:type="dxa"/>
            <w:vAlign w:val="center"/>
          </w:tcPr>
          <w:p w14:paraId="47186569">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标的名称</w:t>
            </w:r>
          </w:p>
        </w:tc>
        <w:tc>
          <w:tcPr>
            <w:tcW w:w="1484" w:type="dxa"/>
            <w:vAlign w:val="center"/>
          </w:tcPr>
          <w:p w14:paraId="410060BF">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★单价限价（元）</w:t>
            </w:r>
          </w:p>
        </w:tc>
        <w:tc>
          <w:tcPr>
            <w:tcW w:w="1111" w:type="dxa"/>
            <w:vAlign w:val="center"/>
          </w:tcPr>
          <w:p w14:paraId="7E88284F">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数量</w:t>
            </w:r>
          </w:p>
        </w:tc>
        <w:tc>
          <w:tcPr>
            <w:tcW w:w="1222" w:type="dxa"/>
            <w:vAlign w:val="center"/>
          </w:tcPr>
          <w:p w14:paraId="3DC7F766">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计量单位</w:t>
            </w:r>
          </w:p>
        </w:tc>
        <w:tc>
          <w:tcPr>
            <w:tcW w:w="1327" w:type="dxa"/>
            <w:vAlign w:val="center"/>
          </w:tcPr>
          <w:p w14:paraId="4713A2F3">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项目最高限价（元）</w:t>
            </w:r>
          </w:p>
        </w:tc>
      </w:tr>
      <w:tr w14:paraId="1AFC5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91" w:type="dxa"/>
            <w:vAlign w:val="center"/>
          </w:tcPr>
          <w:p w14:paraId="46C0CA58">
            <w:pPr>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629" w:type="dxa"/>
            <w:vAlign w:val="center"/>
          </w:tcPr>
          <w:p w14:paraId="05EE3EDF">
            <w:pPr>
              <w:keepNext w:val="0"/>
              <w:keepLines w:val="0"/>
              <w:widowControl/>
              <w:suppressLineNumbers w:val="0"/>
              <w:jc w:val="center"/>
              <w:textAlignment w:val="center"/>
              <w:rPr>
                <w:rFonts w:hint="eastAsia" w:ascii="仿宋" w:hAnsi="仿宋" w:eastAsia="仿宋" w:cs="仿宋"/>
                <w:sz w:val="22"/>
                <w:szCs w:val="22"/>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2253" w:type="dxa"/>
            <w:vAlign w:val="center"/>
          </w:tcPr>
          <w:p w14:paraId="090870CE">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内江市第一人民医院2026年度人才猎头服务采购项目</w:t>
            </w:r>
          </w:p>
        </w:tc>
        <w:tc>
          <w:tcPr>
            <w:tcW w:w="1484" w:type="dxa"/>
            <w:vAlign w:val="center"/>
          </w:tcPr>
          <w:p w14:paraId="7D9C915F">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详见报价要求</w:t>
            </w:r>
          </w:p>
        </w:tc>
        <w:tc>
          <w:tcPr>
            <w:tcW w:w="1111" w:type="dxa"/>
            <w:vAlign w:val="center"/>
          </w:tcPr>
          <w:p w14:paraId="62C1A2EB">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1</w:t>
            </w:r>
            <w:bookmarkStart w:id="1" w:name="_GoBack"/>
            <w:bookmarkEnd w:id="1"/>
          </w:p>
        </w:tc>
        <w:tc>
          <w:tcPr>
            <w:tcW w:w="1222" w:type="dxa"/>
            <w:vAlign w:val="center"/>
          </w:tcPr>
          <w:p w14:paraId="17D5A178">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项</w:t>
            </w:r>
          </w:p>
        </w:tc>
        <w:tc>
          <w:tcPr>
            <w:tcW w:w="1327" w:type="dxa"/>
            <w:vAlign w:val="center"/>
          </w:tcPr>
          <w:p w14:paraId="618C0378">
            <w:pPr>
              <w:keepNext w:val="0"/>
              <w:keepLines w:val="0"/>
              <w:widowControl/>
              <w:suppressLineNumbers w:val="0"/>
              <w:tabs>
                <w:tab w:val="center" w:pos="365"/>
                <w:tab w:val="left" w:pos="526"/>
              </w:tabs>
              <w:jc w:val="center"/>
              <w:textAlignment w:val="center"/>
              <w:rPr>
                <w:rFonts w:hint="default" w:ascii="仿宋" w:hAnsi="仿宋" w:eastAsia="仿宋" w:cs="仿宋"/>
                <w:sz w:val="24"/>
                <w:szCs w:val="32"/>
                <w:lang w:val="en-US" w:eastAsia="zh-CN"/>
              </w:rPr>
            </w:pPr>
            <w:r>
              <w:rPr>
                <w:rFonts w:hint="eastAsia" w:ascii="仿宋" w:hAnsi="仿宋" w:eastAsia="仿宋" w:cs="仿宋"/>
                <w:b w:val="0"/>
                <w:bCs w:val="0"/>
                <w:color w:val="auto"/>
                <w:sz w:val="20"/>
                <w:szCs w:val="20"/>
                <w:highlight w:val="none"/>
                <w:shd w:val="clear" w:color="auto" w:fill="auto"/>
                <w:lang w:val="en-US" w:eastAsia="zh-CN"/>
              </w:rPr>
              <w:t>200000</w:t>
            </w:r>
          </w:p>
        </w:tc>
      </w:tr>
    </w:tbl>
    <w:p w14:paraId="72A9CBEC">
      <w:pPr>
        <w:jc w:val="left"/>
        <w:rPr>
          <w:rFonts w:hint="default" w:ascii="仿宋" w:hAnsi="仿宋" w:eastAsia="仿宋" w:cs="仿宋"/>
          <w:lang w:val="en-US" w:eastAsia="zh-CN"/>
        </w:rPr>
      </w:pPr>
    </w:p>
    <w:p w14:paraId="68040A22">
      <w:pPr>
        <w:jc w:val="left"/>
        <w:outlineLvl w:val="1"/>
        <w:rPr>
          <w:rFonts w:hint="eastAsia" w:ascii="仿宋" w:hAnsi="仿宋" w:eastAsia="仿宋" w:cs="仿宋"/>
          <w:lang w:val="en-US" w:eastAsia="zh-CN"/>
        </w:rPr>
      </w:pPr>
      <w:r>
        <w:rPr>
          <w:rFonts w:hint="eastAsia" w:ascii="仿宋" w:hAnsi="仿宋" w:eastAsia="仿宋" w:cs="仿宋"/>
          <w:b/>
          <w:sz w:val="28"/>
          <w:lang w:val="en-US" w:eastAsia="zh-CN"/>
        </w:rPr>
        <w:t>★</w:t>
      </w:r>
      <w:r>
        <w:rPr>
          <w:rFonts w:hint="eastAsia" w:ascii="仿宋" w:hAnsi="仿宋" w:eastAsia="仿宋" w:cs="仿宋"/>
          <w:b/>
          <w:sz w:val="28"/>
          <w:lang w:val="en-US" w:eastAsia="zh-Hans"/>
        </w:rPr>
        <w:t>3.2.</w:t>
      </w:r>
      <w:r>
        <w:rPr>
          <w:rFonts w:hint="eastAsia" w:ascii="仿宋" w:hAnsi="仿宋" w:eastAsia="仿宋" w:cs="仿宋"/>
          <w:b/>
          <w:sz w:val="28"/>
          <w:lang w:val="en-US" w:eastAsia="zh-CN"/>
        </w:rPr>
        <w:t>服务</w:t>
      </w:r>
      <w:r>
        <w:rPr>
          <w:rFonts w:hint="eastAsia" w:ascii="仿宋" w:hAnsi="仿宋" w:eastAsia="仿宋" w:cs="仿宋"/>
          <w:b/>
          <w:sz w:val="28"/>
          <w:lang w:val="en-US" w:eastAsia="zh-Hans"/>
        </w:rPr>
        <w:t>要求</w:t>
      </w:r>
    </w:p>
    <w:p w14:paraId="412CD7C2">
      <w:pPr>
        <w:jc w:val="left"/>
        <w:outlineLvl w:val="2"/>
        <w:rPr>
          <w:rFonts w:hint="eastAsia" w:ascii="仿宋" w:hAnsi="仿宋" w:eastAsia="仿宋" w:cs="仿宋"/>
          <w:b/>
          <w:bCs/>
          <w:sz w:val="22"/>
          <w:szCs w:val="22"/>
          <w:lang w:val="en-US" w:eastAsia="zh-Hans"/>
        </w:rPr>
      </w:pPr>
      <w:r>
        <w:rPr>
          <w:rFonts w:hint="eastAsia" w:ascii="仿宋" w:hAnsi="仿宋" w:eastAsia="仿宋" w:cs="仿宋"/>
          <w:b/>
          <w:bCs/>
          <w:sz w:val="22"/>
          <w:szCs w:val="22"/>
          <w:lang w:val="en-US" w:eastAsia="zh-Hans"/>
        </w:rPr>
        <w:t>采购包1：</w:t>
      </w:r>
    </w:p>
    <w:p w14:paraId="03DFA0EB">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（1）供应商根据采购人的招聘要求（包括但不限于：岗位、招聘人数、所在部门、学历要求、工作经验、技能等要求），利用自身资源和渠道，广泛搜索符合资质的人才。</w:t>
      </w:r>
    </w:p>
    <w:p w14:paraId="168981C2">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供应商需积极主动地与采购人沟通候选人招募动态及市场信息，并按照采购人的职位要求推荐合适的人选，在候选人报告中应力求客观、全面地向采购人介绍候选人的情况。同时应客观、全面的向候选人传达采购人的招募要求，让候选人全面了解采购人的岗位要求、工作内容及工作环境等信息。</w:t>
      </w:r>
    </w:p>
    <w:p w14:paraId="611C5C01">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供应商所推荐的候选人应符合职位要求，候选人信息是真实有效的，不得有任何敷衍、欺骗或虚假行为，按要求提供背景调查服务（包括但不限于个人身份信息、教育背景、职业资格证书、工作经历、工作表现、以往人际关系、离职原因及信用记录等），以保证每一位候选人资料的真实可靠性。</w:t>
      </w:r>
    </w:p>
    <w:p w14:paraId="7DDE3AC2">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（4）供应商向采购人推荐的候选人若在推荐前已被采购人从其他渠道获得，则被视为无效推荐。若该候选人被中标单位推荐时是采购人首次获得该人员信息，则被视为有效候选人。</w:t>
      </w:r>
    </w:p>
    <w:p w14:paraId="0738A429">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（5）供应商负责与候选人进行深入沟通，了解其职业意向、薪资期望、工作稳定性、离职原因等关键信息，并对候选人的综合素质、专业能力、沟通能力等进行评估，将相关信息提供给采购人。</w:t>
      </w:r>
    </w:p>
    <w:p w14:paraId="3E04A9B9">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（6）供应商须在采购人提供需求岗位后1个月内推荐候选人简历。</w:t>
      </w:r>
    </w:p>
    <w:p w14:paraId="7ED43686">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（7）当供应商找到采购人所需的候选人，应及时主动地为采购人与候选人协调安排面谈时间和地点，并随时协调采购人与候选人之间的关系，组织双方安排线上/线下面试。</w:t>
      </w:r>
    </w:p>
    <w:p w14:paraId="76EBBBEC">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（8）协助采购方与候选人进行入职谈判，包括薪资待遇、福利政策、工作条件等，确保双方达成一致意见并签订劳动合同。</w:t>
      </w:r>
    </w:p>
    <w:p w14:paraId="73359FAD">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9）供应商对所推荐并被聘用人员承诺有12个月在职保证期。若在保证期内，因供应商提供的候选人在试用期考核不合格或自身原因导致离职，如自行提出辞职、隐瞒真实情况、能力不足等原因（除采购人架构调整和裁员外），供应商应在候选人离职之日起3个月内重新提供同职称/人才称号及以上职称/人才称号要求的候选人，并负责后续的沟通、评估、背景调查等工作，直至采购人成功录用新的合适人选，该替换职位服务费与前一离职受聘人的已付服务费进行抵扣，若重新推荐候选人职称/人才称号更高，则在其入职3个月后支付抵扣服务费后的差额；如果未能成功重新推荐候选人入职的，则后续的费用不再支付。</w:t>
      </w:r>
    </w:p>
    <w:p w14:paraId="2EAFCDAB">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（10）供应商应对采购人提供的任何商业机密、知识产权、技术资料及员工信息保密。</w:t>
      </w:r>
    </w:p>
    <w:p w14:paraId="475F2BE8">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（11）供应商</w:t>
      </w:r>
      <w:r>
        <w:rPr>
          <w:rFonts w:hint="default" w:ascii="仿宋" w:hAnsi="仿宋" w:eastAsia="仿宋" w:cs="仿宋"/>
          <w:b w:val="0"/>
          <w:bCs w:val="0"/>
          <w:color w:val="000000"/>
          <w:kern w:val="0"/>
          <w:sz w:val="22"/>
          <w:szCs w:val="22"/>
          <w:u w:val="none"/>
          <w:lang w:val="en-US" w:eastAsia="zh-CN" w:bidi="ar"/>
        </w:rPr>
        <w:t>及其工作人员应遵循行业职业道德，</w:t>
      </w:r>
      <w:r>
        <w:rPr>
          <w:rFonts w:hint="eastAsia" w:ascii="仿宋" w:hAnsi="仿宋" w:eastAsia="仿宋" w:cs="仿宋"/>
          <w:b w:val="0"/>
          <w:bCs w:val="0"/>
          <w:color w:val="000000"/>
          <w:kern w:val="0"/>
          <w:sz w:val="22"/>
          <w:szCs w:val="22"/>
          <w:u w:val="none"/>
          <w:lang w:val="en-US" w:eastAsia="zh-CN" w:bidi="ar"/>
        </w:rPr>
        <w:t>服务过程中，不得主动或被动猎取</w:t>
      </w:r>
      <w:r>
        <w:rPr>
          <w:rFonts w:hint="default" w:ascii="仿宋" w:hAnsi="仿宋" w:eastAsia="仿宋" w:cs="仿宋"/>
          <w:b w:val="0"/>
          <w:bCs w:val="0"/>
          <w:color w:val="000000"/>
          <w:kern w:val="0"/>
          <w:sz w:val="22"/>
          <w:szCs w:val="22"/>
          <w:u w:val="none"/>
          <w:lang w:val="en-US" w:eastAsia="zh-CN" w:bidi="ar"/>
        </w:rPr>
        <w:t>采购人员工至其它单位工作</w:t>
      </w:r>
      <w:r>
        <w:rPr>
          <w:rFonts w:hint="eastAsia" w:ascii="仿宋" w:hAnsi="仿宋" w:eastAsia="仿宋" w:cs="仿宋"/>
          <w:b w:val="0"/>
          <w:bCs w:val="0"/>
          <w:color w:val="000000"/>
          <w:kern w:val="0"/>
          <w:sz w:val="22"/>
          <w:szCs w:val="22"/>
          <w:u w:val="none"/>
          <w:lang w:val="en-US" w:eastAsia="zh-CN" w:bidi="ar"/>
        </w:rPr>
        <w:t>，若有类似情况发生，采购人有权立即终止</w:t>
      </w:r>
      <w:r>
        <w:rPr>
          <w:rFonts w:hint="eastAsia" w:ascii="仿宋" w:hAnsi="仿宋" w:eastAsia="仿宋" w:cs="仿宋"/>
          <w:b w:val="0"/>
          <w:bCs w:val="0"/>
          <w:color w:val="000000"/>
          <w:kern w:val="0"/>
          <w:sz w:val="22"/>
          <w:szCs w:val="22"/>
          <w:u w:val="none"/>
          <w:lang w:val="en-US" w:eastAsia="zh-Hans" w:bidi="ar"/>
        </w:rPr>
        <w:t>服务</w:t>
      </w:r>
      <w:r>
        <w:rPr>
          <w:rFonts w:hint="eastAsia" w:ascii="仿宋" w:hAnsi="仿宋" w:eastAsia="仿宋" w:cs="仿宋"/>
          <w:b w:val="0"/>
          <w:bCs w:val="0"/>
          <w:color w:val="000000"/>
          <w:kern w:val="0"/>
          <w:sz w:val="22"/>
          <w:szCs w:val="22"/>
          <w:u w:val="none"/>
          <w:lang w:val="en-US" w:eastAsia="zh-CN" w:bidi="ar"/>
        </w:rPr>
        <w:t>合同，且不再支付合同剩余需要支付的费用，并保留追偿供应商因此造成的经济损失的权利。</w:t>
      </w:r>
    </w:p>
    <w:p w14:paraId="189321BA">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12）供应商在服务过程中应当完全按照《人力资源市场暂行条例》《中华人民共和国就业促进法》《中华人民共和国劳动法》《中华人民共和国劳动合同法》等相关行业及法律法规执行。（本条所要求的法律法规要求，如有废止的，则以现行有效的法规为准；如有更新的，则以更新后最新版本为准。）</w:t>
      </w:r>
    </w:p>
    <w:p w14:paraId="17CA3372">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（13）服务人员要求</w:t>
      </w:r>
    </w:p>
    <w:p w14:paraId="1150B61B">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13.1供应商应至少派一名医疗行业猎头经验、熟悉医疗行业中高端人才特点的人员作为采购人专属服务顾问，在服务期间变更人员应取得采购人同意。</w:t>
      </w:r>
    </w:p>
    <w:p w14:paraId="7FCDF52E">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13.2供应商拟派的项目负责人至少具有2年以上猎头合作经验，且具有全日制大专及以上学历。</w:t>
      </w:r>
    </w:p>
    <w:p w14:paraId="3F359774">
      <w:pPr>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p>
    <w:p w14:paraId="32A99A46">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商务要求</w:t>
      </w:r>
    </w:p>
    <w:p w14:paraId="59A8450F">
      <w:pPr>
        <w:widowControl w:val="0"/>
        <w:numPr>
          <w:ilvl w:val="-1"/>
          <w:numId w:val="0"/>
        </w:numPr>
        <w:spacing w:line="240" w:lineRule="auto"/>
        <w:jc w:val="left"/>
        <w:rPr>
          <w:rFonts w:hint="eastAsia" w:ascii="仿宋" w:hAnsi="仿宋" w:eastAsia="仿宋" w:cs="仿宋"/>
          <w:color w:val="auto"/>
          <w:kern w:val="2"/>
          <w:sz w:val="22"/>
          <w:szCs w:val="22"/>
          <w:highlight w:val="none"/>
          <w:shd w:val="clear" w:color="auto" w:fill="auto"/>
          <w:lang w:val="en-US" w:eastAsia="zh-CN" w:bidi="ar-SA"/>
        </w:rPr>
      </w:pPr>
      <w:r>
        <w:rPr>
          <w:rFonts w:hint="eastAsia" w:ascii="仿宋" w:hAnsi="仿宋" w:eastAsia="仿宋" w:cs="仿宋"/>
          <w:color w:val="auto"/>
          <w:kern w:val="2"/>
          <w:sz w:val="22"/>
          <w:szCs w:val="22"/>
          <w:highlight w:val="none"/>
          <w:shd w:val="clear" w:color="auto" w:fill="auto"/>
          <w:lang w:val="en-US" w:eastAsia="zh-CN" w:bidi="ar-SA"/>
        </w:rPr>
        <w:t>（1）</w:t>
      </w:r>
      <w:r>
        <w:rPr>
          <w:rFonts w:hint="eastAsia" w:ascii="仿宋" w:hAnsi="仿宋" w:eastAsia="仿宋" w:cs="仿宋"/>
          <w:color w:val="auto"/>
          <w:kern w:val="2"/>
          <w:sz w:val="22"/>
          <w:szCs w:val="22"/>
          <w:highlight w:val="none"/>
          <w:shd w:val="clear" w:color="auto" w:fill="auto"/>
          <w:lang w:val="en-US" w:eastAsia="zh-Hans" w:bidi="ar-SA"/>
        </w:rPr>
        <w:t>本项目</w:t>
      </w:r>
      <w:r>
        <w:rPr>
          <w:rFonts w:hint="eastAsia" w:ascii="仿宋" w:hAnsi="仿宋" w:eastAsia="仿宋" w:cs="仿宋"/>
          <w:color w:val="auto"/>
          <w:kern w:val="2"/>
          <w:sz w:val="22"/>
          <w:szCs w:val="22"/>
          <w:highlight w:val="none"/>
          <w:shd w:val="clear" w:color="auto" w:fill="auto"/>
          <w:lang w:val="en-US" w:eastAsia="zh-CN" w:bidi="ar-SA"/>
        </w:rPr>
        <w:t>服务期限/</w:t>
      </w:r>
      <w:r>
        <w:rPr>
          <w:rFonts w:hint="eastAsia" w:ascii="仿宋" w:hAnsi="仿宋" w:eastAsia="仿宋" w:cs="仿宋"/>
          <w:color w:val="auto"/>
          <w:kern w:val="2"/>
          <w:sz w:val="22"/>
          <w:szCs w:val="22"/>
          <w:highlight w:val="none"/>
          <w:shd w:val="clear" w:color="auto" w:fill="auto"/>
          <w:lang w:val="en-US" w:eastAsia="zh-Hans" w:bidi="ar-SA"/>
        </w:rPr>
        <w:t>合同期限</w:t>
      </w:r>
      <w:r>
        <w:rPr>
          <w:rFonts w:hint="eastAsia" w:ascii="仿宋" w:hAnsi="仿宋" w:eastAsia="仿宋" w:cs="仿宋"/>
          <w:color w:val="auto"/>
          <w:kern w:val="2"/>
          <w:sz w:val="22"/>
          <w:szCs w:val="22"/>
          <w:highlight w:val="none"/>
          <w:shd w:val="clear" w:color="auto" w:fill="auto"/>
          <w:lang w:val="en-US" w:eastAsia="zh-CN" w:bidi="ar-SA"/>
        </w:rPr>
        <w:t>：一年。</w:t>
      </w:r>
      <w:r>
        <w:rPr>
          <w:rFonts w:hint="eastAsia" w:ascii="仿宋" w:hAnsi="仿宋" w:eastAsia="仿宋" w:cs="仿宋"/>
          <w:color w:val="auto"/>
          <w:kern w:val="2"/>
          <w:sz w:val="22"/>
          <w:szCs w:val="22"/>
          <w:highlight w:val="none"/>
          <w:shd w:val="clear" w:color="auto" w:fill="auto"/>
          <w:lang w:val="en-US" w:eastAsia="zh-CN" w:bidi="ar-SA"/>
        </w:rPr>
        <w:br w:type="textWrapping"/>
      </w:r>
      <w:r>
        <w:rPr>
          <w:rFonts w:hint="eastAsia" w:ascii="仿宋" w:hAnsi="仿宋" w:eastAsia="仿宋" w:cs="仿宋"/>
          <w:color w:val="auto"/>
          <w:kern w:val="2"/>
          <w:sz w:val="22"/>
          <w:szCs w:val="22"/>
          <w:highlight w:val="none"/>
          <w:shd w:val="clear" w:color="auto" w:fill="auto"/>
          <w:lang w:val="en-US" w:eastAsia="zh-CN" w:bidi="ar-SA"/>
        </w:rPr>
        <w:t>（2）报价要求：</w:t>
      </w:r>
    </w:p>
    <w:tbl>
      <w:tblPr>
        <w:tblStyle w:val="4"/>
        <w:tblW w:w="7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250"/>
        <w:gridCol w:w="1267"/>
        <w:gridCol w:w="2284"/>
      </w:tblGrid>
      <w:tr w14:paraId="2AF5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897" w:type="dxa"/>
            <w:vAlign w:val="center"/>
          </w:tcPr>
          <w:p w14:paraId="27934C30">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序号</w:t>
            </w:r>
          </w:p>
        </w:tc>
        <w:tc>
          <w:tcPr>
            <w:tcW w:w="3250" w:type="dxa"/>
            <w:vAlign w:val="center"/>
          </w:tcPr>
          <w:p w14:paraId="4292D419">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职称</w:t>
            </w:r>
          </w:p>
        </w:tc>
        <w:tc>
          <w:tcPr>
            <w:tcW w:w="1267" w:type="dxa"/>
            <w:vAlign w:val="center"/>
          </w:tcPr>
          <w:p w14:paraId="182F42F2">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学位</w:t>
            </w:r>
          </w:p>
        </w:tc>
        <w:tc>
          <w:tcPr>
            <w:tcW w:w="2284" w:type="dxa"/>
            <w:vAlign w:val="center"/>
          </w:tcPr>
          <w:p w14:paraId="0AA352AF">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单价</w:t>
            </w:r>
            <w:r>
              <w:rPr>
                <w:rFonts w:hint="eastAsia" w:ascii="仿宋" w:hAnsi="仿宋" w:eastAsia="仿宋" w:cs="仿宋"/>
                <w:kern w:val="2"/>
                <w:sz w:val="22"/>
                <w:szCs w:val="22"/>
                <w:vertAlign w:val="baseline"/>
                <w:lang w:val="en-US" w:eastAsia="zh-Hans" w:bidi="ar-SA"/>
              </w:rPr>
              <w:t>最高</w:t>
            </w:r>
            <w:r>
              <w:rPr>
                <w:rFonts w:hint="eastAsia" w:ascii="仿宋" w:hAnsi="仿宋" w:eastAsia="仿宋" w:cs="仿宋"/>
                <w:kern w:val="2"/>
                <w:sz w:val="22"/>
                <w:szCs w:val="22"/>
                <w:vertAlign w:val="baseline"/>
                <w:lang w:val="en-US" w:eastAsia="zh-CN" w:bidi="ar-SA"/>
              </w:rPr>
              <w:t>限价（万元/人）</w:t>
            </w:r>
          </w:p>
        </w:tc>
      </w:tr>
      <w:tr w14:paraId="416A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97" w:type="dxa"/>
            <w:vAlign w:val="center"/>
          </w:tcPr>
          <w:p w14:paraId="4CB0354B">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1</w:t>
            </w:r>
          </w:p>
        </w:tc>
        <w:tc>
          <w:tcPr>
            <w:tcW w:w="3250" w:type="dxa"/>
            <w:vAlign w:val="center"/>
          </w:tcPr>
          <w:p w14:paraId="10A56013">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中级职称</w:t>
            </w:r>
          </w:p>
        </w:tc>
        <w:tc>
          <w:tcPr>
            <w:tcW w:w="1267" w:type="dxa"/>
            <w:vAlign w:val="center"/>
          </w:tcPr>
          <w:p w14:paraId="1911B55C">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博士</w:t>
            </w:r>
          </w:p>
        </w:tc>
        <w:tc>
          <w:tcPr>
            <w:tcW w:w="2284" w:type="dxa"/>
            <w:vAlign w:val="center"/>
          </w:tcPr>
          <w:p w14:paraId="797576C1">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2.00</w:t>
            </w:r>
          </w:p>
        </w:tc>
      </w:tr>
      <w:tr w14:paraId="0687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97" w:type="dxa"/>
            <w:vAlign w:val="center"/>
          </w:tcPr>
          <w:p w14:paraId="0DA868AF">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2</w:t>
            </w:r>
          </w:p>
        </w:tc>
        <w:tc>
          <w:tcPr>
            <w:tcW w:w="3250" w:type="dxa"/>
            <w:vAlign w:val="center"/>
          </w:tcPr>
          <w:p w14:paraId="2FCAB970">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副高级职称</w:t>
            </w:r>
          </w:p>
        </w:tc>
        <w:tc>
          <w:tcPr>
            <w:tcW w:w="1267" w:type="dxa"/>
            <w:vAlign w:val="center"/>
          </w:tcPr>
          <w:p w14:paraId="30C8FDCF">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博士</w:t>
            </w:r>
          </w:p>
        </w:tc>
        <w:tc>
          <w:tcPr>
            <w:tcW w:w="2284" w:type="dxa"/>
            <w:vAlign w:val="center"/>
          </w:tcPr>
          <w:p w14:paraId="3D47FACD">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4.00</w:t>
            </w:r>
          </w:p>
        </w:tc>
      </w:tr>
      <w:tr w14:paraId="3DA1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97" w:type="dxa"/>
            <w:vAlign w:val="center"/>
          </w:tcPr>
          <w:p w14:paraId="640413C1">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3</w:t>
            </w:r>
          </w:p>
        </w:tc>
        <w:tc>
          <w:tcPr>
            <w:tcW w:w="3250" w:type="dxa"/>
            <w:vAlign w:val="center"/>
          </w:tcPr>
          <w:p w14:paraId="70F6791E">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正高级职称</w:t>
            </w:r>
          </w:p>
        </w:tc>
        <w:tc>
          <w:tcPr>
            <w:tcW w:w="1267" w:type="dxa"/>
            <w:vAlign w:val="center"/>
          </w:tcPr>
          <w:p w14:paraId="0BF70EBF">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博士</w:t>
            </w:r>
          </w:p>
        </w:tc>
        <w:tc>
          <w:tcPr>
            <w:tcW w:w="2284" w:type="dxa"/>
            <w:vAlign w:val="center"/>
          </w:tcPr>
          <w:p w14:paraId="47B71CAC">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5.00</w:t>
            </w:r>
          </w:p>
        </w:tc>
      </w:tr>
      <w:tr w14:paraId="3C3F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97" w:type="dxa"/>
            <w:vAlign w:val="center"/>
          </w:tcPr>
          <w:p w14:paraId="6140E8E0">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4</w:t>
            </w:r>
          </w:p>
        </w:tc>
        <w:tc>
          <w:tcPr>
            <w:tcW w:w="3250" w:type="dxa"/>
            <w:vAlign w:val="center"/>
          </w:tcPr>
          <w:p w14:paraId="3AB1A5E2">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省学术和技术带头人后备人选，省卫生健康英才计划首席专家、领军人才，享受国务院政府特殊津贴专家或其他相当于上述层次的人才</w:t>
            </w:r>
          </w:p>
        </w:tc>
        <w:tc>
          <w:tcPr>
            <w:tcW w:w="1267" w:type="dxa"/>
            <w:vAlign w:val="center"/>
          </w:tcPr>
          <w:p w14:paraId="18E184F7">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博士</w:t>
            </w:r>
          </w:p>
        </w:tc>
        <w:tc>
          <w:tcPr>
            <w:tcW w:w="2284" w:type="dxa"/>
            <w:vAlign w:val="center"/>
          </w:tcPr>
          <w:p w14:paraId="1B25DE29">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8.00</w:t>
            </w:r>
          </w:p>
        </w:tc>
      </w:tr>
      <w:tr w14:paraId="500F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97" w:type="dxa"/>
            <w:vAlign w:val="center"/>
          </w:tcPr>
          <w:p w14:paraId="07A24891">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5</w:t>
            </w:r>
          </w:p>
        </w:tc>
        <w:tc>
          <w:tcPr>
            <w:tcW w:w="3250" w:type="dxa"/>
            <w:vAlign w:val="center"/>
          </w:tcPr>
          <w:p w14:paraId="054730D4">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省学术和技术带头人，“天府峨眉计划”领军人才，“天府青城计划”领军人才或其他相当于及高于上述层次的人才</w:t>
            </w:r>
          </w:p>
        </w:tc>
        <w:tc>
          <w:tcPr>
            <w:tcW w:w="1267" w:type="dxa"/>
            <w:vAlign w:val="center"/>
          </w:tcPr>
          <w:p w14:paraId="216AA829">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博士</w:t>
            </w:r>
          </w:p>
        </w:tc>
        <w:tc>
          <w:tcPr>
            <w:tcW w:w="2284" w:type="dxa"/>
            <w:vAlign w:val="center"/>
          </w:tcPr>
          <w:p w14:paraId="368355F0">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10.00</w:t>
            </w:r>
          </w:p>
        </w:tc>
      </w:tr>
      <w:tr w14:paraId="79F3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7698" w:type="dxa"/>
            <w:gridSpan w:val="4"/>
            <w:vAlign w:val="center"/>
          </w:tcPr>
          <w:p w14:paraId="12FF9360">
            <w:pPr>
              <w:widowControl w:val="0"/>
              <w:spacing w:line="240" w:lineRule="auto"/>
              <w:ind w:firstLine="440" w:firstLineChars="200"/>
              <w:jc w:val="both"/>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供应商</w:t>
            </w:r>
            <w:r>
              <w:rPr>
                <w:rFonts w:hint="eastAsia" w:ascii="仿宋" w:hAnsi="仿宋" w:eastAsia="仿宋" w:cs="仿宋"/>
                <w:kern w:val="2"/>
                <w:sz w:val="22"/>
                <w:szCs w:val="22"/>
                <w:vertAlign w:val="baseline"/>
                <w:lang w:val="en-US" w:eastAsia="zh-CN" w:bidi="ar-SA"/>
              </w:rPr>
              <w:t>根据上述对应的职称报价标准报出统一下浮率。成交单价为单价限价*（1-统一下浮率）。供应商所报单价是其响应本项目要求的全部工作内容的价格体现，包括供应商完成本项目所需的一切单价，包含但不限于：人工、差旅、保险、税金、利润、风险、采购代理服务费和与本项目相关的可预见及不可预见的所需要的其他所有费用，采购人不再向成交供应商支付其他任何额外的费用。</w:t>
            </w:r>
          </w:p>
        </w:tc>
      </w:tr>
    </w:tbl>
    <w:p w14:paraId="1E498653">
      <w:pPr>
        <w:rPr>
          <w:rFonts w:hint="eastAsia" w:ascii="仿宋" w:hAnsi="仿宋" w:eastAsia="仿宋" w:cs="仿宋"/>
          <w:sz w:val="22"/>
          <w:szCs w:val="22"/>
        </w:rPr>
      </w:pPr>
    </w:p>
    <w:p w14:paraId="6BAE7AA2">
      <w:pPr>
        <w:spacing w:line="240" w:lineRule="auto"/>
        <w:ind w:firstLine="440" w:firstLineChars="200"/>
        <w:jc w:val="left"/>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kern w:val="2"/>
          <w:sz w:val="22"/>
          <w:szCs w:val="22"/>
          <w:highlight w:val="none"/>
          <w:shd w:val="clear" w:color="auto" w:fill="auto"/>
          <w:lang w:val="en-US" w:eastAsia="zh-CN" w:bidi="ar-SA"/>
        </w:rPr>
        <w:t>（3）付款方式：</w:t>
      </w:r>
      <w:r>
        <w:rPr>
          <w:rFonts w:hint="eastAsia" w:ascii="仿宋" w:hAnsi="仿宋" w:eastAsia="仿宋" w:cs="仿宋"/>
          <w:color w:val="auto"/>
          <w:sz w:val="22"/>
          <w:szCs w:val="22"/>
          <w:highlight w:val="none"/>
          <w:shd w:val="clear" w:color="auto" w:fill="auto"/>
          <w:lang w:val="en-US" w:eastAsia="zh-CN"/>
        </w:rPr>
        <w:t>根据实际入职人数进行分段支付，若未能成功推荐候选人入职的，采购人则不支付相应费用。成功推荐候选人入职，在候选人入职3个月后，采购人20日内向成交供应商支付</w:t>
      </w:r>
      <w:r>
        <w:rPr>
          <w:rFonts w:hint="eastAsia" w:ascii="仿宋" w:hAnsi="仿宋" w:eastAsia="仿宋" w:cs="仿宋"/>
          <w:color w:val="auto"/>
          <w:sz w:val="22"/>
          <w:szCs w:val="22"/>
          <w:highlight w:val="none"/>
          <w:shd w:val="clear" w:color="auto" w:fill="auto"/>
          <w:lang w:val="en-US" w:eastAsia="zh-Hans"/>
        </w:rPr>
        <w:t>相</w:t>
      </w:r>
      <w:r>
        <w:rPr>
          <w:rFonts w:hint="eastAsia" w:ascii="仿宋" w:hAnsi="仿宋" w:eastAsia="仿宋" w:cs="仿宋"/>
          <w:color w:val="auto"/>
          <w:sz w:val="22"/>
          <w:szCs w:val="22"/>
          <w:highlight w:val="none"/>
          <w:shd w:val="clear" w:color="auto" w:fill="auto"/>
          <w:lang w:val="en-US" w:eastAsia="zh-CN"/>
        </w:rPr>
        <w:t>对应职称成交单价的30%，待候选人入职12个月后，采购人20日内向成交供应商支付成交单价余下的70%；若候选人未满12个月离职且供应商未重新推荐候选人入职，则不支付余下费用。</w:t>
      </w:r>
    </w:p>
    <w:p w14:paraId="663E58B2">
      <w:pPr>
        <w:spacing w:line="400" w:lineRule="exact"/>
        <w:ind w:firstLine="442" w:firstLineChars="200"/>
        <w:rPr>
          <w:rFonts w:hint="eastAsia" w:ascii="仿宋" w:hAnsi="仿宋" w:eastAsia="仿宋" w:cs="仿宋"/>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注：每次付款前，供应商应提供合法有效且符合采购人要求的发票；若供应商未提供符合采购人要求的支付票据资料，采购人有权拒绝付款且不构成违约。</w:t>
      </w:r>
    </w:p>
    <w:p w14:paraId="4C037341">
      <w:pPr>
        <w:numPr>
          <w:ilvl w:val="0"/>
          <w:numId w:val="0"/>
        </w:numPr>
        <w:ind w:firstLine="440" w:firstLineChars="200"/>
        <w:rPr>
          <w:rFonts w:hint="eastAsia" w:ascii="仿宋" w:hAnsi="仿宋" w:eastAsia="仿宋" w:cs="仿宋"/>
          <w:color w:val="auto"/>
          <w:kern w:val="2"/>
          <w:sz w:val="22"/>
          <w:szCs w:val="22"/>
          <w:highlight w:val="none"/>
          <w:shd w:val="clear" w:color="auto" w:fill="auto"/>
          <w:lang w:val="en-US" w:eastAsia="zh-CN" w:bidi="ar-SA"/>
        </w:rPr>
      </w:pPr>
      <w:r>
        <w:rPr>
          <w:rFonts w:hint="eastAsia" w:ascii="仿宋" w:hAnsi="仿宋" w:eastAsia="仿宋" w:cs="仿宋"/>
          <w:color w:val="auto"/>
          <w:kern w:val="2"/>
          <w:sz w:val="22"/>
          <w:szCs w:val="22"/>
          <w:highlight w:val="none"/>
          <w:shd w:val="clear" w:color="auto" w:fill="auto"/>
          <w:lang w:val="en-US" w:eastAsia="zh-CN" w:bidi="ar-SA"/>
        </w:rPr>
        <w:t>（4）在合同履行期间，供应商应优先推荐候选人给采购人，不能将采购人有意愿引进的候选人同时推荐给除采购人以外的本市其他医疗机构，否则采购人有权单方面终止合同，并要求供应商支付采购预算30%的违约金。</w:t>
      </w:r>
    </w:p>
    <w:p w14:paraId="46AC5E7B">
      <w:pPr>
        <w:numPr>
          <w:ilvl w:val="0"/>
          <w:numId w:val="0"/>
        </w:numPr>
        <w:ind w:firstLine="440" w:firstLineChars="200"/>
        <w:rPr>
          <w:rFonts w:hint="eastAsia" w:ascii="仿宋" w:hAnsi="仿宋" w:eastAsia="仿宋" w:cs="仿宋"/>
          <w:sz w:val="22"/>
          <w:szCs w:val="22"/>
          <w:highlight w:val="none"/>
          <w:lang w:val="en-US" w:eastAsia="zh-CN"/>
        </w:rPr>
      </w:pPr>
      <w:r>
        <w:rPr>
          <w:rFonts w:hint="eastAsia" w:ascii="仿宋" w:hAnsi="仿宋" w:eastAsia="仿宋" w:cs="仿宋"/>
          <w:kern w:val="2"/>
          <w:sz w:val="22"/>
          <w:szCs w:val="22"/>
          <w:lang w:val="en-US" w:eastAsia="zh-CN" w:bidi="ar-SA"/>
        </w:rPr>
        <w:t>（5）</w:t>
      </w:r>
      <w:r>
        <w:rPr>
          <w:rFonts w:hint="eastAsia" w:ascii="仿宋" w:hAnsi="仿宋" w:eastAsia="仿宋" w:cs="仿宋"/>
          <w:color w:val="auto"/>
          <w:sz w:val="22"/>
          <w:szCs w:val="22"/>
          <w:highlight w:val="none"/>
          <w:shd w:val="clear" w:color="auto" w:fill="auto"/>
          <w:lang w:val="en-US" w:eastAsia="zh-CN"/>
        </w:rPr>
        <w:t>验收方法和标准：参照政府采购相关法律法规以及《财政部关于进一步加强政府采购需求和履约验收管理的指导意见》（财库〔2016〕205号）的要求、采购文件的质量要求和技术指标、成交供应商的响应文件及承诺以及合同约定标准进行验收。</w:t>
      </w:r>
    </w:p>
    <w:p w14:paraId="7740FE99">
      <w:pPr>
        <w:ind w:firstLine="480"/>
        <w:jc w:val="left"/>
        <w:rPr>
          <w:rFonts w:hint="eastAsia" w:ascii="仿宋" w:hAnsi="仿宋" w:eastAsia="仿宋" w:cs="仿宋"/>
          <w:color w:val="auto"/>
          <w:sz w:val="22"/>
          <w:szCs w:val="22"/>
          <w:highlight w:val="none"/>
          <w:u w:val="none"/>
          <w:shd w:val="clear" w:color="auto" w:fill="auto"/>
          <w:lang w:val="en-US" w:eastAsia="zh-CN"/>
        </w:rPr>
      </w:pPr>
      <w:r>
        <w:rPr>
          <w:rFonts w:hint="eastAsia" w:ascii="仿宋" w:hAnsi="仿宋" w:eastAsia="仿宋" w:cs="仿宋"/>
          <w:color w:val="auto"/>
          <w:sz w:val="22"/>
          <w:szCs w:val="22"/>
          <w:highlight w:val="none"/>
          <w:u w:val="none"/>
          <w:shd w:val="clear" w:color="auto" w:fill="auto"/>
          <w:lang w:val="en-US" w:eastAsia="zh-CN"/>
        </w:rPr>
        <w:t>（6）违约责任与解决争议的方法：在执行本项目中发生的或与本项目有关的争端，双方应通过友好协商解决，经协商在30天内不能达成协议时，可向采购人住所地人民法院提起诉讼人民法院提起诉讼解决争议。</w:t>
      </w:r>
    </w:p>
    <w:p w14:paraId="71AE8FE3">
      <w:pPr>
        <w:ind w:firstLine="480"/>
        <w:jc w:val="left"/>
        <w:rPr>
          <w:rFonts w:hint="eastAsia" w:ascii="仿宋" w:hAnsi="仿宋" w:eastAsia="仿宋" w:cs="仿宋"/>
          <w:color w:val="auto"/>
          <w:sz w:val="22"/>
          <w:szCs w:val="22"/>
          <w:highlight w:val="none"/>
          <w:u w:val="none"/>
          <w:shd w:val="clear" w:color="auto" w:fill="auto"/>
          <w:lang w:val="en-US" w:eastAsia="zh-CN"/>
        </w:rPr>
      </w:pPr>
      <w:r>
        <w:rPr>
          <w:rFonts w:hint="eastAsia" w:ascii="仿宋" w:hAnsi="仿宋" w:eastAsia="仿宋" w:cs="仿宋"/>
          <w:color w:val="auto"/>
          <w:sz w:val="22"/>
          <w:szCs w:val="22"/>
          <w:highlight w:val="none"/>
          <w:u w:val="none"/>
          <w:shd w:val="clear" w:color="auto" w:fill="auto"/>
          <w:lang w:val="en-US" w:eastAsia="zh-CN"/>
        </w:rPr>
        <w:t>（7）缔约过失责任：</w:t>
      </w:r>
    </w:p>
    <w:p w14:paraId="181BFDBC">
      <w:pPr>
        <w:ind w:firstLine="480"/>
        <w:jc w:val="left"/>
        <w:rPr>
          <w:rFonts w:hint="eastAsia" w:ascii="仿宋" w:hAnsi="仿宋" w:eastAsia="仿宋" w:cs="仿宋"/>
          <w:color w:val="auto"/>
          <w:sz w:val="22"/>
          <w:szCs w:val="22"/>
          <w:highlight w:val="none"/>
          <w:u w:val="none"/>
          <w:shd w:val="clear" w:color="auto" w:fill="auto"/>
          <w:lang w:val="en-US" w:eastAsia="zh-CN"/>
        </w:rPr>
      </w:pPr>
      <w:r>
        <w:rPr>
          <w:rFonts w:hint="eastAsia" w:ascii="仿宋" w:hAnsi="仿宋" w:eastAsia="仿宋" w:cs="仿宋"/>
          <w:color w:val="auto"/>
          <w:sz w:val="22"/>
          <w:szCs w:val="22"/>
          <w:highlight w:val="none"/>
          <w:u w:val="none"/>
          <w:shd w:val="clear" w:color="auto" w:fill="auto"/>
          <w:lang w:val="en-US" w:eastAsia="zh-CN"/>
        </w:rPr>
        <w:t>供应商无正当理由未能在规定时间内与采购人签订合同的，需向采购人支付中标（成交）金额20%的赔偿金。赔偿金不足以弥补采购人全部损失的，还应赔偿采购人全部损失；</w:t>
      </w:r>
    </w:p>
    <w:p w14:paraId="4671A2AC">
      <w:pPr>
        <w:rPr>
          <w:rFonts w:hint="eastAsia"/>
          <w:lang w:val="en-US" w:eastAsia="zh-Hans"/>
        </w:rPr>
      </w:pPr>
      <w:r>
        <w:rPr>
          <w:rFonts w:hint="eastAsia" w:ascii="仿宋" w:hAnsi="仿宋" w:eastAsia="仿宋" w:cs="仿宋"/>
          <w:color w:val="auto"/>
          <w:sz w:val="22"/>
          <w:szCs w:val="22"/>
          <w:highlight w:val="none"/>
          <w:u w:val="none"/>
          <w:shd w:val="clear" w:color="auto" w:fill="auto"/>
          <w:lang w:val="en-US" w:eastAsia="zh-CN"/>
        </w:rPr>
        <w:t>若投标供应商提交的投标(响应)文件存在虚假材料或虚假响应的情况，投标供应商应向采购人支付本项目预算金额30%的赔偿金。</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97A41"/>
    <w:rsid w:val="02A816B2"/>
    <w:rsid w:val="077F66F5"/>
    <w:rsid w:val="0AE20369"/>
    <w:rsid w:val="0FBE6E80"/>
    <w:rsid w:val="108B406B"/>
    <w:rsid w:val="17E8357A"/>
    <w:rsid w:val="1ACE595C"/>
    <w:rsid w:val="1D6E72C9"/>
    <w:rsid w:val="2D666B35"/>
    <w:rsid w:val="2DD262C3"/>
    <w:rsid w:val="312E4E5B"/>
    <w:rsid w:val="3605102C"/>
    <w:rsid w:val="368372FD"/>
    <w:rsid w:val="3E441D93"/>
    <w:rsid w:val="4EE35A4E"/>
    <w:rsid w:val="55DA3FC2"/>
    <w:rsid w:val="5D2D4643"/>
    <w:rsid w:val="6B3117C7"/>
    <w:rsid w:val="6E682869"/>
    <w:rsid w:val="716442F4"/>
    <w:rsid w:val="71D01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2580</Words>
  <Characters>2773</Characters>
  <Lines>0</Lines>
  <Paragraphs>0</Paragraphs>
  <TotalTime>0</TotalTime>
  <ScaleCrop>false</ScaleCrop>
  <LinksUpToDate>false</LinksUpToDate>
  <CharactersWithSpaces>2779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2026-07-03T07:45:00Z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eyJoZGlkIjoiZmU5MzkzNmZjMzc3NWFhY2FhNzA2NjQ0ZDdjMjMwZDYiLCJ1c2VySWQiOiI0ODI5Njk1NDgifQ==</vt:lpwstr>
  </property>
  <property fmtid="{D5CDD505-2E9C-101B-9397-08002B2CF9AE}" pid="4" name="ICV">
    <vt:lpwstr>C5B7C8CBB9774CFEB3B6A5951A74B4A9_12</vt:lpwstr>
  </property>
</Properties>
</file>