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8711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60CDF2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询价文件</w:t>
      </w:r>
    </w:p>
    <w:p w14:paraId="7E9CB669">
      <w:pPr>
        <w:pStyle w:val="2"/>
        <w:rPr>
          <w:rFonts w:hint="eastAsia" w:ascii="黑体" w:hAnsi="黑体" w:eastAsia="黑体" w:cs="黑体"/>
          <w:lang w:val="en-US" w:eastAsia="zh-CN"/>
        </w:rPr>
      </w:pPr>
    </w:p>
    <w:p w14:paraId="21DF8D54">
      <w:pPr>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jc w:val="left"/>
        <w:rPr>
          <w:rFonts w:hint="eastAsia" w:ascii="黑体" w:hAnsi="黑体" w:eastAsia="黑体" w:cs="黑体"/>
          <w:sz w:val="30"/>
          <w:szCs w:val="30"/>
          <w:lang w:val="en-US" w:eastAsia="zh-CN"/>
        </w:rPr>
      </w:pPr>
      <w:r>
        <w:rPr>
          <w:rFonts w:hint="eastAsia" w:ascii="仿宋" w:hAnsi="仿宋" w:eastAsia="仿宋" w:cs="仿宋"/>
          <w:sz w:val="28"/>
          <w:szCs w:val="28"/>
        </w:rPr>
        <w:t>注：“★”条款为本项目实质性要求，不允许负偏离，如有负偏离将作无效响应处理。</w:t>
      </w:r>
    </w:p>
    <w:p w14:paraId="3CAE3CE5">
      <w:pPr>
        <w:keepNext w:val="0"/>
        <w:keepLines w:val="0"/>
        <w:pageBreakBefore w:val="0"/>
        <w:numPr>
          <w:ilvl w:val="0"/>
          <w:numId w:val="0"/>
        </w:numPr>
        <w:kinsoku/>
        <w:wordWrap/>
        <w:overflowPunct/>
        <w:topLinePunct w:val="0"/>
        <w:autoSpaceDE/>
        <w:autoSpaceDN/>
        <w:bidi w:val="0"/>
        <w:adjustRightInd/>
        <w:snapToGrid/>
        <w:spacing w:line="400" w:lineRule="exact"/>
        <w:ind w:firstLine="600" w:firstLineChars="200"/>
        <w:jc w:val="left"/>
        <w:rPr>
          <w:rFonts w:hint="eastAsia" w:ascii="黑体" w:hAnsi="黑体" w:eastAsia="黑体" w:cs="黑体"/>
          <w:sz w:val="32"/>
          <w:szCs w:val="32"/>
          <w:lang w:val="en-US" w:eastAsia="zh-CN"/>
        </w:rPr>
      </w:pPr>
      <w:r>
        <w:rPr>
          <w:rFonts w:hint="eastAsia" w:ascii="黑体" w:hAnsi="黑体" w:eastAsia="黑体" w:cs="黑体"/>
          <w:sz w:val="30"/>
          <w:szCs w:val="30"/>
          <w:lang w:val="en-US" w:eastAsia="zh-CN"/>
        </w:rPr>
        <w:t>一、项目名称</w:t>
      </w:r>
    </w:p>
    <w:p w14:paraId="659A9FD6">
      <w:pPr>
        <w:keepNext w:val="0"/>
        <w:keepLines w:val="0"/>
        <w:pageBreakBefore w:val="0"/>
        <w:kinsoku/>
        <w:wordWrap/>
        <w:overflowPunct/>
        <w:topLinePunct w:val="0"/>
        <w:autoSpaceDE/>
        <w:autoSpaceDN/>
        <w:bidi w:val="0"/>
        <w:adjustRightInd/>
        <w:snapToGrid/>
        <w:spacing w:line="400" w:lineRule="exact"/>
        <w:ind w:firstLine="56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28"/>
          <w:szCs w:val="28"/>
        </w:rPr>
        <w:t>内江市第一人民医院</w:t>
      </w:r>
      <w:r>
        <w:rPr>
          <w:rFonts w:hint="eastAsia" w:ascii="仿宋_GB2312" w:hAnsi="仿宋_GB2312" w:eastAsia="仿宋_GB2312" w:cs="仿宋_GB2312"/>
          <w:color w:val="auto"/>
          <w:sz w:val="28"/>
          <w:szCs w:val="28"/>
          <w:lang w:val="en-US" w:eastAsia="zh-CN"/>
        </w:rPr>
        <w:t>院区共享轮椅服务投放采购项目（第二次）</w:t>
      </w:r>
    </w:p>
    <w:p w14:paraId="7159F671">
      <w:pPr>
        <w:keepNext w:val="0"/>
        <w:keepLines w:val="0"/>
        <w:pageBreakBefore w:val="0"/>
        <w:kinsoku/>
        <w:wordWrap/>
        <w:overflowPunct/>
        <w:topLinePunct w:val="0"/>
        <w:autoSpaceDE/>
        <w:autoSpaceDN/>
        <w:bidi w:val="0"/>
        <w:adjustRightInd/>
        <w:snapToGrid/>
        <w:spacing w:line="400" w:lineRule="exact"/>
        <w:ind w:firstLine="600" w:firstLineChars="200"/>
        <w:jc w:val="left"/>
        <w:rPr>
          <w:rFonts w:hint="eastAsia" w:ascii="黑体" w:hAnsi="黑体" w:eastAsia="黑体" w:cs="黑体"/>
          <w:b w:val="0"/>
          <w:bCs/>
          <w:sz w:val="32"/>
          <w:szCs w:val="32"/>
          <w:lang w:eastAsia="zh-CN"/>
        </w:rPr>
      </w:pPr>
      <w:r>
        <w:rPr>
          <w:rFonts w:hint="eastAsia" w:ascii="黑体" w:hAnsi="黑体" w:eastAsia="黑体" w:cs="黑体"/>
          <w:b w:val="0"/>
          <w:bCs/>
          <w:sz w:val="30"/>
          <w:szCs w:val="30"/>
        </w:rPr>
        <w:t>二、项目</w:t>
      </w:r>
      <w:r>
        <w:rPr>
          <w:rFonts w:hint="eastAsia" w:ascii="黑体" w:hAnsi="黑体" w:eastAsia="黑体" w:cs="黑体"/>
          <w:b w:val="0"/>
          <w:bCs/>
          <w:sz w:val="30"/>
          <w:szCs w:val="30"/>
          <w:lang w:eastAsia="zh-CN"/>
        </w:rPr>
        <w:t>概况</w:t>
      </w:r>
    </w:p>
    <w:p w14:paraId="4CCB6B0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28"/>
          <w:szCs w:val="28"/>
        </w:rPr>
        <w:t>为了方便到医院就诊的行动不便患者，进一步提升服务满意度，现进行院区共享轮椅服务投放</w:t>
      </w:r>
      <w:r>
        <w:rPr>
          <w:rFonts w:hint="eastAsia" w:ascii="仿宋_GB2312" w:hAnsi="仿宋_GB2312" w:eastAsia="仿宋_GB2312" w:cs="仿宋_GB2312"/>
          <w:sz w:val="28"/>
          <w:szCs w:val="28"/>
          <w:lang w:eastAsia="zh-CN"/>
        </w:rPr>
        <w:t>采购项目询价</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服务供应商在两院区设立共享轮椅服务点，提供轮椅租赁自助服务。服务期限三年，合同一年一签。</w:t>
      </w:r>
    </w:p>
    <w:p w14:paraId="74588E3F">
      <w:pPr>
        <w:keepNext w:val="0"/>
        <w:keepLines w:val="0"/>
        <w:pageBreakBefore w:val="0"/>
        <w:numPr>
          <w:ilvl w:val="0"/>
          <w:numId w:val="0"/>
        </w:numPr>
        <w:kinsoku/>
        <w:wordWrap/>
        <w:overflowPunct/>
        <w:topLinePunct w:val="0"/>
        <w:autoSpaceDE/>
        <w:autoSpaceDN/>
        <w:bidi w:val="0"/>
        <w:adjustRightInd/>
        <w:snapToGrid/>
        <w:spacing w:line="400" w:lineRule="exact"/>
        <w:ind w:leftChars="0" w:firstLine="600" w:firstLineChars="200"/>
        <w:jc w:val="left"/>
        <w:rPr>
          <w:rFonts w:hint="eastAsia" w:ascii="黑体" w:hAnsi="黑体" w:eastAsia="黑体" w:cs="黑体"/>
          <w:sz w:val="32"/>
          <w:szCs w:val="32"/>
          <w:lang w:val="en-US" w:eastAsia="zh-CN"/>
        </w:rPr>
      </w:pPr>
      <w:r>
        <w:rPr>
          <w:rFonts w:hint="eastAsia" w:ascii="黑体" w:hAnsi="黑体" w:eastAsia="黑体" w:cs="黑体"/>
          <w:sz w:val="30"/>
          <w:szCs w:val="30"/>
          <w:lang w:val="en-US" w:eastAsia="zh-CN"/>
        </w:rPr>
        <w:t>三、服务要求</w:t>
      </w:r>
    </w:p>
    <w:p w14:paraId="04490C7E">
      <w:pPr>
        <w:pStyle w:val="20"/>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outlineLvl w:val="9"/>
        <w:rPr>
          <w:rFonts w:hint="default" w:ascii="仿宋" w:hAnsi="仿宋" w:eastAsia="仿宋" w:cs="仿宋"/>
          <w:color w:val="auto"/>
          <w:sz w:val="28"/>
          <w:szCs w:val="28"/>
          <w:lang w:eastAsia="zh-CN"/>
        </w:rPr>
      </w:pPr>
      <w:r>
        <w:rPr>
          <w:rFonts w:hint="eastAsia" w:ascii="仿宋" w:hAnsi="仿宋" w:eastAsia="仿宋" w:cs="仿宋"/>
          <w:sz w:val="24"/>
          <w:szCs w:val="24"/>
        </w:rPr>
        <w:t>★</w:t>
      </w:r>
      <w:r>
        <w:rPr>
          <w:rFonts w:hint="eastAsia" w:ascii="仿宋" w:hAnsi="仿宋" w:eastAsia="仿宋" w:cs="仿宋"/>
          <w:sz w:val="24"/>
          <w:szCs w:val="24"/>
          <w:lang w:eastAsia="zh-CN"/>
        </w:rPr>
        <w:t>（</w:t>
      </w:r>
      <w:r>
        <w:rPr>
          <w:rFonts w:ascii="仿宋" w:hAnsi="仿宋" w:eastAsia="仿宋" w:cs="仿宋"/>
          <w:b/>
          <w:color w:val="auto"/>
          <w:sz w:val="28"/>
          <w:szCs w:val="28"/>
          <w:lang w:eastAsia="zh-CN"/>
        </w:rPr>
        <w:t>一</w:t>
      </w:r>
      <w:r>
        <w:rPr>
          <w:rFonts w:hint="eastAsia" w:ascii="仿宋" w:hAnsi="仿宋" w:eastAsia="仿宋" w:cs="仿宋"/>
          <w:sz w:val="24"/>
          <w:szCs w:val="24"/>
          <w:lang w:eastAsia="zh-CN"/>
        </w:rPr>
        <w:t>）</w:t>
      </w:r>
      <w:r>
        <w:rPr>
          <w:rFonts w:ascii="仿宋" w:hAnsi="仿宋" w:eastAsia="仿宋" w:cs="仿宋"/>
          <w:b/>
          <w:color w:val="auto"/>
          <w:sz w:val="28"/>
          <w:szCs w:val="28"/>
          <w:lang w:eastAsia="zh-CN"/>
        </w:rPr>
        <w:t>标的情况</w:t>
      </w:r>
    </w:p>
    <w:tbl>
      <w:tblPr>
        <w:tblStyle w:val="10"/>
        <w:tblW w:w="8425"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325"/>
        <w:gridCol w:w="2388"/>
        <w:gridCol w:w="2850"/>
      </w:tblGrid>
      <w:tr w14:paraId="626F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862" w:type="dxa"/>
            <w:vAlign w:val="center"/>
          </w:tcPr>
          <w:p w14:paraId="07BAB7A5">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ascii="仿宋" w:hAnsi="仿宋" w:eastAsia="仿宋" w:cs="仿宋"/>
                <w:b/>
                <w:bCs/>
                <w:color w:val="auto"/>
                <w:sz w:val="28"/>
                <w:szCs w:val="28"/>
                <w:shd w:val="clear" w:color="auto" w:fill="FFFFFF"/>
              </w:rPr>
            </w:pPr>
            <w:r>
              <w:rPr>
                <w:rFonts w:hint="eastAsia" w:ascii="仿宋" w:hAnsi="仿宋" w:eastAsia="仿宋" w:cs="仿宋"/>
                <w:b/>
                <w:bCs/>
                <w:color w:val="auto"/>
                <w:sz w:val="28"/>
                <w:szCs w:val="28"/>
                <w:shd w:val="clear" w:color="auto" w:fill="FFFFFF"/>
              </w:rPr>
              <w:t>包号</w:t>
            </w:r>
          </w:p>
        </w:tc>
        <w:tc>
          <w:tcPr>
            <w:tcW w:w="2325" w:type="dxa"/>
            <w:vAlign w:val="center"/>
          </w:tcPr>
          <w:p w14:paraId="1ABB2F5D">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ascii="仿宋" w:hAnsi="仿宋" w:eastAsia="仿宋" w:cs="仿宋"/>
                <w:b/>
                <w:bCs/>
                <w:color w:val="auto"/>
                <w:sz w:val="28"/>
                <w:szCs w:val="28"/>
                <w:shd w:val="clear" w:color="auto" w:fill="FFFFFF"/>
              </w:rPr>
            </w:pPr>
            <w:r>
              <w:rPr>
                <w:rFonts w:hint="eastAsia" w:ascii="仿宋" w:hAnsi="仿宋" w:eastAsia="仿宋" w:cs="仿宋"/>
                <w:b/>
                <w:bCs/>
                <w:color w:val="auto"/>
                <w:sz w:val="28"/>
                <w:szCs w:val="28"/>
                <w:shd w:val="clear" w:color="auto" w:fill="FFFFFF"/>
                <w:lang w:eastAsia="zh-CN"/>
              </w:rPr>
              <w:t>服务</w:t>
            </w:r>
            <w:r>
              <w:rPr>
                <w:rFonts w:hint="eastAsia" w:ascii="仿宋" w:hAnsi="仿宋" w:eastAsia="仿宋" w:cs="仿宋"/>
                <w:b/>
                <w:bCs/>
                <w:color w:val="auto"/>
                <w:sz w:val="28"/>
                <w:szCs w:val="28"/>
                <w:shd w:val="clear" w:color="auto" w:fill="FFFFFF"/>
              </w:rPr>
              <w:t>内容</w:t>
            </w:r>
          </w:p>
        </w:tc>
        <w:tc>
          <w:tcPr>
            <w:tcW w:w="2388" w:type="dxa"/>
            <w:vAlign w:val="center"/>
          </w:tcPr>
          <w:p w14:paraId="297EE745">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ascii="仿宋" w:hAnsi="仿宋" w:eastAsia="仿宋" w:cs="仿宋"/>
                <w:b/>
                <w:bCs/>
                <w:color w:val="auto"/>
                <w:sz w:val="28"/>
                <w:szCs w:val="28"/>
                <w:shd w:val="clear" w:color="auto" w:fill="FFFFFF"/>
              </w:rPr>
            </w:pPr>
            <w:r>
              <w:rPr>
                <w:rFonts w:hint="eastAsia" w:ascii="仿宋" w:hAnsi="仿宋" w:eastAsia="仿宋" w:cs="仿宋"/>
                <w:b/>
                <w:bCs/>
                <w:color w:val="auto"/>
                <w:sz w:val="28"/>
                <w:szCs w:val="28"/>
                <w:shd w:val="clear" w:color="auto" w:fill="FFFFFF"/>
                <w:lang w:eastAsia="zh-CN"/>
              </w:rPr>
              <w:t>服务</w:t>
            </w:r>
            <w:r>
              <w:rPr>
                <w:rFonts w:hint="eastAsia" w:ascii="仿宋" w:hAnsi="仿宋" w:eastAsia="仿宋" w:cs="仿宋"/>
                <w:b/>
                <w:bCs/>
                <w:color w:val="auto"/>
                <w:sz w:val="28"/>
                <w:szCs w:val="28"/>
                <w:shd w:val="clear" w:color="auto" w:fill="FFFFFF"/>
              </w:rPr>
              <w:t>地点</w:t>
            </w:r>
          </w:p>
        </w:tc>
        <w:tc>
          <w:tcPr>
            <w:tcW w:w="2850" w:type="dxa"/>
            <w:vAlign w:val="center"/>
          </w:tcPr>
          <w:p w14:paraId="12B51E5A">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hint="eastAsia" w:ascii="仿宋" w:hAnsi="仿宋" w:eastAsia="仿宋" w:cs="仿宋"/>
                <w:b/>
                <w:bCs/>
                <w:color w:val="auto"/>
                <w:sz w:val="28"/>
                <w:szCs w:val="28"/>
                <w:shd w:val="clear" w:color="auto" w:fill="FFFFFF"/>
              </w:rPr>
            </w:pPr>
            <w:r>
              <w:rPr>
                <w:rFonts w:hint="eastAsia" w:ascii="仿宋" w:hAnsi="仿宋" w:eastAsia="仿宋" w:cs="仿宋"/>
                <w:b/>
                <w:bCs/>
                <w:color w:val="auto"/>
                <w:sz w:val="28"/>
                <w:szCs w:val="28"/>
                <w:shd w:val="clear" w:color="auto" w:fill="FFFFFF"/>
                <w:lang w:eastAsia="zh-CN"/>
              </w:rPr>
              <w:t>服务管理费</w:t>
            </w:r>
            <w:r>
              <w:rPr>
                <w:rFonts w:hint="eastAsia" w:ascii="仿宋" w:hAnsi="仿宋" w:eastAsia="仿宋" w:cs="仿宋"/>
                <w:b/>
                <w:bCs/>
                <w:color w:val="auto"/>
                <w:sz w:val="28"/>
                <w:szCs w:val="28"/>
                <w:shd w:val="clear" w:color="auto" w:fill="FFFFFF"/>
              </w:rPr>
              <w:t>最低限价</w:t>
            </w:r>
          </w:p>
          <w:p w14:paraId="1B5EED1E">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ascii="仿宋" w:hAnsi="仿宋" w:eastAsia="仿宋" w:cs="仿宋"/>
                <w:b/>
                <w:bCs/>
                <w:color w:val="auto"/>
                <w:sz w:val="28"/>
                <w:szCs w:val="28"/>
                <w:shd w:val="clear" w:color="auto" w:fill="FFFFFF"/>
              </w:rPr>
            </w:pPr>
            <w:r>
              <w:rPr>
                <w:rFonts w:hint="eastAsia" w:ascii="仿宋" w:hAnsi="仿宋" w:eastAsia="仿宋" w:cs="仿宋"/>
                <w:b/>
                <w:bCs/>
                <w:color w:val="auto"/>
                <w:sz w:val="28"/>
                <w:szCs w:val="28"/>
                <w:shd w:val="clear" w:color="auto" w:fill="FFFFFF"/>
              </w:rPr>
              <w:t>（元/</w:t>
            </w:r>
            <w:r>
              <w:rPr>
                <w:rFonts w:hint="eastAsia" w:ascii="仿宋" w:hAnsi="仿宋" w:eastAsia="仿宋" w:cs="仿宋"/>
                <w:b/>
                <w:bCs/>
                <w:color w:val="auto"/>
                <w:sz w:val="28"/>
                <w:szCs w:val="28"/>
                <w:shd w:val="clear" w:color="auto" w:fill="FFFFFF"/>
                <w:lang w:eastAsia="zh-CN"/>
              </w:rPr>
              <w:t>台</w:t>
            </w:r>
            <w:r>
              <w:rPr>
                <w:rFonts w:hint="eastAsia" w:ascii="仿宋" w:hAnsi="仿宋" w:eastAsia="仿宋" w:cs="仿宋"/>
                <w:b/>
                <w:bCs/>
                <w:color w:val="auto"/>
                <w:sz w:val="28"/>
                <w:szCs w:val="28"/>
                <w:shd w:val="clear" w:color="auto" w:fill="FFFFFF"/>
                <w:lang w:val="en-US" w:eastAsia="zh-CN"/>
              </w:rPr>
              <w:t>/月</w:t>
            </w:r>
            <w:r>
              <w:rPr>
                <w:rFonts w:hint="eastAsia" w:ascii="仿宋" w:hAnsi="仿宋" w:eastAsia="仿宋" w:cs="仿宋"/>
                <w:b/>
                <w:bCs/>
                <w:color w:val="auto"/>
                <w:sz w:val="28"/>
                <w:szCs w:val="28"/>
                <w:shd w:val="clear" w:color="auto" w:fill="FFFFFF"/>
              </w:rPr>
              <w:t>）</w:t>
            </w:r>
          </w:p>
        </w:tc>
      </w:tr>
      <w:tr w14:paraId="4507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62" w:type="dxa"/>
            <w:vAlign w:val="center"/>
          </w:tcPr>
          <w:p w14:paraId="17BF42ED">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ascii="仿宋" w:hAnsi="仿宋" w:eastAsia="仿宋" w:cs="仿宋"/>
                <w:bCs/>
                <w:color w:val="auto"/>
                <w:sz w:val="28"/>
                <w:szCs w:val="28"/>
                <w:lang w:eastAsia="zh-Hans"/>
              </w:rPr>
            </w:pPr>
            <w:r>
              <w:rPr>
                <w:rFonts w:hint="eastAsia" w:ascii="仿宋" w:hAnsi="仿宋" w:eastAsia="仿宋" w:cs="仿宋"/>
                <w:bCs/>
                <w:color w:val="auto"/>
                <w:sz w:val="28"/>
                <w:szCs w:val="28"/>
                <w:lang w:eastAsia="zh-Hans"/>
              </w:rPr>
              <w:t>1</w:t>
            </w:r>
          </w:p>
        </w:tc>
        <w:tc>
          <w:tcPr>
            <w:tcW w:w="2325" w:type="dxa"/>
            <w:vAlign w:val="center"/>
          </w:tcPr>
          <w:p w14:paraId="5E1650E0">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ascii="仿宋" w:hAnsi="仿宋" w:eastAsia="仿宋" w:cs="仿宋"/>
                <w:bCs/>
                <w:color w:val="auto"/>
                <w:sz w:val="28"/>
                <w:szCs w:val="28"/>
                <w:lang w:eastAsia="zh-Hans"/>
              </w:rPr>
            </w:pPr>
            <w:r>
              <w:rPr>
                <w:rFonts w:hint="eastAsia" w:ascii="仿宋" w:hAnsi="仿宋" w:eastAsia="仿宋" w:cs="仿宋"/>
                <w:b/>
                <w:bCs/>
                <w:color w:val="auto"/>
                <w:sz w:val="28"/>
                <w:szCs w:val="28"/>
              </w:rPr>
              <w:t>内江市第一人民医院院区共享轮椅服务投放</w:t>
            </w:r>
          </w:p>
        </w:tc>
        <w:tc>
          <w:tcPr>
            <w:tcW w:w="2388" w:type="dxa"/>
            <w:vAlign w:val="center"/>
          </w:tcPr>
          <w:p w14:paraId="1762392E">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hint="eastAsia" w:ascii="仿宋" w:hAnsi="仿宋" w:eastAsia="仿宋" w:cs="仿宋"/>
                <w:b/>
                <w:bCs w:val="0"/>
                <w:color w:val="auto"/>
                <w:kern w:val="2"/>
                <w:sz w:val="28"/>
                <w:szCs w:val="28"/>
                <w:lang w:eastAsia="zh-CN"/>
              </w:rPr>
            </w:pPr>
            <w:r>
              <w:rPr>
                <w:rFonts w:hint="eastAsia" w:ascii="仿宋" w:hAnsi="仿宋" w:eastAsia="仿宋" w:cs="仿宋"/>
                <w:b/>
                <w:bCs w:val="0"/>
                <w:color w:val="auto"/>
                <w:kern w:val="2"/>
                <w:sz w:val="28"/>
                <w:szCs w:val="28"/>
                <w:lang w:eastAsia="zh-CN"/>
              </w:rPr>
              <w:t>新区和城南院区</w:t>
            </w:r>
          </w:p>
        </w:tc>
        <w:tc>
          <w:tcPr>
            <w:tcW w:w="2850" w:type="dxa"/>
            <w:vAlign w:val="center"/>
          </w:tcPr>
          <w:p w14:paraId="41A4CA76">
            <w:pPr>
              <w:pStyle w:val="8"/>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baseline"/>
              <w:outlineLvl w:val="9"/>
              <w:rPr>
                <w:rFonts w:hint="eastAsia" w:ascii="仿宋" w:hAnsi="仿宋" w:eastAsia="仿宋" w:cs="仿宋"/>
                <w:b/>
                <w:bCs w:val="0"/>
                <w:color w:val="auto"/>
                <w:kern w:val="2"/>
                <w:sz w:val="28"/>
                <w:szCs w:val="28"/>
                <w:lang w:val="en-US" w:eastAsia="zh-CN"/>
              </w:rPr>
            </w:pPr>
            <w:r>
              <w:rPr>
                <w:rFonts w:hint="eastAsia" w:ascii="仿宋" w:hAnsi="仿宋" w:eastAsia="仿宋" w:cs="仿宋"/>
                <w:b/>
                <w:bCs w:val="0"/>
                <w:color w:val="auto"/>
                <w:kern w:val="2"/>
                <w:sz w:val="28"/>
                <w:szCs w:val="28"/>
                <w:lang w:val="en-US" w:eastAsia="zh-CN"/>
              </w:rPr>
              <w:t>100.00</w:t>
            </w:r>
          </w:p>
        </w:tc>
      </w:tr>
    </w:tbl>
    <w:p w14:paraId="278162B4">
      <w:pPr>
        <w:keepNext w:val="0"/>
        <w:keepLines w:val="0"/>
        <w:pageBreakBefore w:val="0"/>
        <w:kinsoku/>
        <w:wordWrap/>
        <w:overflowPunct/>
        <w:topLinePunct w:val="0"/>
        <w:autoSpaceDE/>
        <w:autoSpaceDN/>
        <w:bidi w:val="0"/>
        <w:adjustRightInd/>
        <w:snapToGrid/>
        <w:spacing w:line="400" w:lineRule="exact"/>
        <w:ind w:firstLine="562" w:firstLineChars="200"/>
        <w:outlineLvl w:val="9"/>
        <w:rPr>
          <w:rFonts w:ascii="仿宋" w:hAnsi="仿宋" w:eastAsia="仿宋" w:cs="仿宋"/>
          <w:b/>
          <w:color w:val="auto"/>
          <w:sz w:val="28"/>
          <w:szCs w:val="28"/>
        </w:rPr>
      </w:pPr>
      <w:r>
        <w:rPr>
          <w:rFonts w:hint="eastAsia" w:ascii="仿宋" w:hAnsi="仿宋" w:eastAsia="仿宋" w:cs="仿宋"/>
          <w:b/>
          <w:color w:val="auto"/>
          <w:sz w:val="28"/>
          <w:szCs w:val="28"/>
        </w:rPr>
        <w:t>★</w:t>
      </w:r>
      <w:r>
        <w:rPr>
          <w:rFonts w:hint="eastAsia" w:ascii="仿宋" w:hAnsi="仿宋" w:eastAsia="仿宋" w:cs="仿宋"/>
          <w:b/>
          <w:color w:val="auto"/>
          <w:sz w:val="28"/>
          <w:szCs w:val="28"/>
          <w:lang w:eastAsia="zh-CN"/>
        </w:rPr>
        <w:t>（</w:t>
      </w:r>
      <w:r>
        <w:rPr>
          <w:rFonts w:hint="eastAsia" w:ascii="仿宋" w:hAnsi="仿宋" w:eastAsia="仿宋" w:cs="仿宋"/>
          <w:b/>
          <w:color w:val="auto"/>
          <w:sz w:val="28"/>
          <w:szCs w:val="28"/>
        </w:rPr>
        <w:t>二</w:t>
      </w:r>
      <w:r>
        <w:rPr>
          <w:rFonts w:hint="eastAsia" w:ascii="仿宋" w:hAnsi="仿宋" w:eastAsia="仿宋" w:cs="仿宋"/>
          <w:b/>
          <w:color w:val="auto"/>
          <w:sz w:val="28"/>
          <w:szCs w:val="28"/>
          <w:lang w:eastAsia="zh-CN"/>
        </w:rPr>
        <w:t>）技术和服务</w:t>
      </w:r>
      <w:r>
        <w:rPr>
          <w:rFonts w:hint="eastAsia" w:ascii="仿宋" w:hAnsi="仿宋" w:eastAsia="仿宋" w:cs="仿宋"/>
          <w:b/>
          <w:color w:val="auto"/>
          <w:sz w:val="28"/>
          <w:szCs w:val="28"/>
        </w:rPr>
        <w:t>要求</w:t>
      </w:r>
    </w:p>
    <w:p w14:paraId="046BF70B">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基本要求：</w:t>
      </w:r>
    </w:p>
    <w:p w14:paraId="0F2EF18F">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运营模式：共享轮椅，自主投放，自助服务</w:t>
      </w:r>
    </w:p>
    <w:p w14:paraId="4CE402D5">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投放地点：内江市第一人民医院新区（内江市市中区汉安大道西段1866号）和城南院区（内江市市中区沱中路41号），包括但不限于门诊部、住院部等</w:t>
      </w:r>
      <w:r>
        <w:rPr>
          <w:rFonts w:hint="eastAsia" w:ascii="仿宋" w:hAnsi="仿宋" w:eastAsia="仿宋" w:cs="仿宋"/>
          <w:sz w:val="28"/>
          <w:szCs w:val="28"/>
          <w:lang w:eastAsia="zh-CN"/>
        </w:rPr>
        <w:t>，若因</w:t>
      </w:r>
      <w:r>
        <w:rPr>
          <w:rFonts w:hint="eastAsia" w:ascii="仿宋" w:hAnsi="仿宋" w:eastAsia="仿宋" w:cs="仿宋"/>
          <w:sz w:val="28"/>
          <w:szCs w:val="28"/>
        </w:rPr>
        <w:t>城南院区</w:t>
      </w:r>
      <w:r>
        <w:rPr>
          <w:rFonts w:hint="eastAsia" w:ascii="仿宋" w:hAnsi="仿宋" w:eastAsia="仿宋" w:cs="仿宋"/>
          <w:sz w:val="28"/>
          <w:szCs w:val="28"/>
          <w:lang w:eastAsia="zh-CN"/>
        </w:rPr>
        <w:t>整体搬迁，所属区域不再投放</w:t>
      </w:r>
      <w:r>
        <w:rPr>
          <w:rFonts w:hint="eastAsia" w:ascii="仿宋" w:hAnsi="仿宋" w:eastAsia="仿宋" w:cs="仿宋"/>
          <w:sz w:val="28"/>
          <w:szCs w:val="28"/>
        </w:rPr>
        <w:t>。</w:t>
      </w:r>
    </w:p>
    <w:p w14:paraId="70591ABD">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3投放数量：两院区总投放数量不少于10台，供应商可根据实际使用率或采购人需求增加或减少投放数量，但总投放量不得少于10台，增加或减少数量前必须向采购人报备，增减后必须由采购人管理人员确认数量，以便计算应缴服务管理费。</w:t>
      </w:r>
    </w:p>
    <w:p w14:paraId="39FCD096">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4计费要求：为了体现医院公益属性，在公共场所供群众使用以免费为主，用户每人每次可免费使用</w:t>
      </w:r>
      <w:r>
        <w:rPr>
          <w:rFonts w:hint="eastAsia" w:ascii="仿宋" w:hAnsi="仿宋" w:eastAsia="仿宋" w:cs="仿宋"/>
          <w:sz w:val="28"/>
          <w:szCs w:val="28"/>
          <w:lang w:eastAsia="zh-CN"/>
        </w:rPr>
        <w:t>至少</w:t>
      </w:r>
      <w:r>
        <w:rPr>
          <w:rFonts w:hint="eastAsia" w:ascii="仿宋" w:hAnsi="仿宋" w:eastAsia="仿宋" w:cs="仿宋"/>
          <w:sz w:val="28"/>
          <w:szCs w:val="28"/>
        </w:rPr>
        <w:t>1小时，每人每天免费使用次数至少为1次。用户单次使用超过</w:t>
      </w:r>
      <w:r>
        <w:rPr>
          <w:rFonts w:hint="eastAsia" w:ascii="仿宋" w:hAnsi="仿宋" w:eastAsia="仿宋" w:cs="仿宋"/>
          <w:sz w:val="28"/>
          <w:szCs w:val="28"/>
          <w:lang w:eastAsia="zh-CN"/>
        </w:rPr>
        <w:t>免费时长</w:t>
      </w:r>
      <w:r>
        <w:rPr>
          <w:rFonts w:hint="eastAsia" w:ascii="仿宋" w:hAnsi="仿宋" w:eastAsia="仿宋" w:cs="仿宋"/>
          <w:sz w:val="28"/>
          <w:szCs w:val="28"/>
        </w:rPr>
        <w:t>的，才进行收费</w:t>
      </w:r>
      <w:r>
        <w:rPr>
          <w:rFonts w:hint="eastAsia" w:ascii="仿宋" w:hAnsi="仿宋" w:eastAsia="仿宋" w:cs="仿宋"/>
          <w:sz w:val="28"/>
          <w:szCs w:val="28"/>
          <w:lang w:eastAsia="zh-CN"/>
        </w:rPr>
        <w:t>。若收取用户押金的，在用户退还时应当即时返还押金，不得占用。</w:t>
      </w:r>
      <w:r>
        <w:rPr>
          <w:rFonts w:hint="eastAsia" w:ascii="仿宋" w:hAnsi="仿宋" w:eastAsia="仿宋" w:cs="仿宋"/>
          <w:sz w:val="28"/>
          <w:szCs w:val="28"/>
        </w:rPr>
        <w:t>收费标准及服务规则须在租借台进行</w:t>
      </w:r>
      <w:r>
        <w:rPr>
          <w:rFonts w:hint="eastAsia" w:ascii="仿宋" w:hAnsi="仿宋" w:eastAsia="仿宋" w:cs="仿宋"/>
          <w:sz w:val="28"/>
          <w:szCs w:val="28"/>
          <w:lang w:eastAsia="zh-CN"/>
        </w:rPr>
        <w:t>明显</w:t>
      </w:r>
      <w:r>
        <w:rPr>
          <w:rFonts w:hint="eastAsia" w:ascii="仿宋" w:hAnsi="仿宋" w:eastAsia="仿宋" w:cs="仿宋"/>
          <w:sz w:val="28"/>
          <w:szCs w:val="28"/>
        </w:rPr>
        <w:t>提示。</w:t>
      </w:r>
    </w:p>
    <w:p w14:paraId="2398F9A7">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5计费系统要求：须有成熟的</w:t>
      </w:r>
      <w:r>
        <w:rPr>
          <w:rFonts w:hint="eastAsia" w:ascii="仿宋" w:hAnsi="仿宋" w:eastAsia="仿宋" w:cs="仿宋"/>
          <w:sz w:val="28"/>
          <w:szCs w:val="28"/>
          <w:lang w:eastAsia="zh-CN"/>
        </w:rPr>
        <w:t>线上</w:t>
      </w:r>
      <w:r>
        <w:rPr>
          <w:rFonts w:hint="eastAsia" w:ascii="仿宋" w:hAnsi="仿宋" w:eastAsia="仿宋" w:cs="仿宋"/>
          <w:sz w:val="28"/>
          <w:szCs w:val="28"/>
        </w:rPr>
        <w:t>收费系统。</w:t>
      </w:r>
    </w:p>
    <w:p w14:paraId="50C474EE">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6轮椅及辅助设施设备由供应商自行提供，采购人只提供置放场地和电源接入保障，供电电源，电源线路、插座及加锁保护网</w:t>
      </w:r>
      <w:r>
        <w:rPr>
          <w:rFonts w:hint="eastAsia" w:ascii="仿宋" w:hAnsi="仿宋" w:eastAsia="仿宋" w:cs="仿宋"/>
          <w:sz w:val="28"/>
          <w:szCs w:val="28"/>
          <w:lang w:eastAsia="zh-CN"/>
        </w:rPr>
        <w:t>等</w:t>
      </w:r>
      <w:r>
        <w:rPr>
          <w:rFonts w:hint="eastAsia" w:ascii="仿宋" w:hAnsi="仿宋" w:eastAsia="仿宋" w:cs="仿宋"/>
          <w:sz w:val="28"/>
          <w:szCs w:val="28"/>
        </w:rPr>
        <w:t>由供应商安装，</w:t>
      </w:r>
    </w:p>
    <w:p w14:paraId="5D598C81">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7供应商负责共享轮椅的日常运营管理，确保设备的正常运行，并负责设备清洁、保养及维修工作。</w:t>
      </w:r>
    </w:p>
    <w:p w14:paraId="033BF3CD">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轮椅</w:t>
      </w:r>
      <w:r>
        <w:rPr>
          <w:rFonts w:hint="eastAsia" w:ascii="仿宋" w:hAnsi="仿宋" w:eastAsia="仿宋" w:cs="仿宋"/>
          <w:sz w:val="28"/>
          <w:szCs w:val="28"/>
          <w:lang w:eastAsia="zh-CN"/>
        </w:rPr>
        <w:t>及收纳架</w:t>
      </w:r>
      <w:r>
        <w:rPr>
          <w:rFonts w:hint="eastAsia" w:ascii="仿宋" w:hAnsi="仿宋" w:eastAsia="仿宋" w:cs="仿宋"/>
          <w:sz w:val="28"/>
          <w:szCs w:val="28"/>
        </w:rPr>
        <w:t>要求：</w:t>
      </w:r>
    </w:p>
    <w:p w14:paraId="70510EC8">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b/>
          <w:bCs/>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1所投放轮椅的生产厂家具有医疗器械生产许可证/生产备案凭证，轮椅具有有效的医疗器械注册证/备案凭证。</w:t>
      </w:r>
      <w:r>
        <w:rPr>
          <w:rFonts w:hint="eastAsia" w:ascii="仿宋" w:hAnsi="仿宋" w:eastAsia="仿宋" w:cs="仿宋"/>
          <w:b/>
          <w:bCs/>
          <w:sz w:val="28"/>
          <w:szCs w:val="28"/>
        </w:rPr>
        <w:t>（供应商须提供有效的轮椅生产厂家的医疗器械生产许可证/生产备案凭证和轮椅的医疗器械注册证/备案凭证）</w:t>
      </w:r>
    </w:p>
    <w:p w14:paraId="19DC15FB">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2轮椅车前后轮胎为实心轮胎，免充气。</w:t>
      </w:r>
    </w:p>
    <w:p w14:paraId="13B4CDC9">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3轮椅扶手固定。</w:t>
      </w:r>
    </w:p>
    <w:p w14:paraId="130757B8">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b/>
          <w:bCs/>
          <w:sz w:val="28"/>
          <w:szCs w:val="28"/>
          <w:lang w:eastAsia="zh-CN"/>
        </w:rPr>
      </w:pPr>
      <w:r>
        <w:rPr>
          <w:rFonts w:hint="eastAsia" w:ascii="仿宋" w:hAnsi="仿宋" w:eastAsia="仿宋" w:cs="仿宋"/>
          <w:sz w:val="28"/>
          <w:szCs w:val="28"/>
          <w:lang w:val="en-US" w:eastAsia="zh-CN"/>
        </w:rPr>
        <w:t>2.4</w:t>
      </w:r>
      <w:r>
        <w:rPr>
          <w:rFonts w:hint="eastAsia" w:ascii="仿宋" w:hAnsi="仿宋" w:eastAsia="仿宋" w:cs="仿宋"/>
          <w:sz w:val="28"/>
          <w:szCs w:val="28"/>
        </w:rPr>
        <w:t>轮椅基本参数：</w:t>
      </w:r>
      <w:r>
        <w:rPr>
          <w:rFonts w:hint="eastAsia" w:ascii="仿宋" w:hAnsi="仿宋" w:eastAsia="仿宋" w:cs="仿宋"/>
          <w:sz w:val="28"/>
          <w:szCs w:val="28"/>
          <w:lang w:eastAsia="zh-CN"/>
        </w:rPr>
        <w:t>座位宽度≥45cm、靠背高度≥40cm、后轮≥24寸、承重≥100kg且质量符合《GB/T13800-2009手动轮椅车》或《GB</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Z13800-2021手动轮椅车》标准的轮椅。</w:t>
      </w:r>
    </w:p>
    <w:p w14:paraId="3AC6C164">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2.5</w:t>
      </w:r>
      <w:r>
        <w:rPr>
          <w:rFonts w:hint="eastAsia" w:ascii="仿宋" w:hAnsi="仿宋" w:eastAsia="仿宋" w:cs="仿宋"/>
          <w:sz w:val="28"/>
          <w:szCs w:val="28"/>
        </w:rPr>
        <w:t>轮椅收纳架每组可放置≥5台轮椅，为节约占地面积尺寸≤155×95×60cm</w:t>
      </w:r>
      <w:r>
        <w:rPr>
          <w:rFonts w:hint="eastAsia" w:ascii="仿宋" w:hAnsi="仿宋" w:eastAsia="仿宋" w:cs="仿宋"/>
          <w:sz w:val="28"/>
          <w:szCs w:val="28"/>
          <w:lang w:eastAsia="zh-CN"/>
        </w:rPr>
        <w:t>。</w:t>
      </w:r>
    </w:p>
    <w:p w14:paraId="4727D56F">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2.6</w:t>
      </w:r>
      <w:r>
        <w:rPr>
          <w:rFonts w:hint="eastAsia" w:ascii="仿宋" w:hAnsi="仿宋" w:eastAsia="仿宋" w:cs="仿宋"/>
          <w:sz w:val="28"/>
          <w:szCs w:val="28"/>
        </w:rPr>
        <w:t>为方便管理</w:t>
      </w:r>
      <w:r>
        <w:rPr>
          <w:rFonts w:hint="eastAsia" w:ascii="仿宋" w:hAnsi="仿宋" w:eastAsia="仿宋" w:cs="仿宋"/>
          <w:sz w:val="28"/>
          <w:szCs w:val="28"/>
          <w:lang w:eastAsia="zh-CN"/>
        </w:rPr>
        <w:t>，</w:t>
      </w:r>
      <w:r>
        <w:rPr>
          <w:rFonts w:hint="eastAsia" w:ascii="仿宋" w:hAnsi="仿宋" w:eastAsia="仿宋" w:cs="仿宋"/>
          <w:sz w:val="28"/>
          <w:szCs w:val="28"/>
        </w:rPr>
        <w:t>轮椅收纳架</w:t>
      </w:r>
      <w:r>
        <w:rPr>
          <w:rFonts w:hint="eastAsia" w:ascii="仿宋" w:hAnsi="仿宋" w:eastAsia="仿宋" w:cs="仿宋"/>
          <w:sz w:val="28"/>
          <w:szCs w:val="28"/>
          <w:lang w:eastAsia="zh-CN"/>
        </w:rPr>
        <w:t>可</w:t>
      </w:r>
      <w:r>
        <w:rPr>
          <w:rFonts w:hint="eastAsia" w:ascii="仿宋" w:hAnsi="仿宋" w:eastAsia="仿宋" w:cs="仿宋"/>
          <w:sz w:val="28"/>
          <w:szCs w:val="28"/>
        </w:rPr>
        <w:t>随时移动。</w:t>
      </w:r>
    </w:p>
    <w:p w14:paraId="1B7B97C6">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7收纳系统供电额定电压不高于12伏</w:t>
      </w:r>
      <w:r>
        <w:rPr>
          <w:rFonts w:hint="eastAsia" w:ascii="仿宋" w:hAnsi="仿宋" w:eastAsia="仿宋" w:cs="仿宋"/>
          <w:sz w:val="28"/>
          <w:szCs w:val="28"/>
          <w:lang w:eastAsia="zh-CN"/>
        </w:rPr>
        <w:t>。</w:t>
      </w:r>
    </w:p>
    <w:p w14:paraId="0D840AAB">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b/>
          <w:bCs/>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b/>
          <w:bCs/>
          <w:sz w:val="28"/>
          <w:szCs w:val="28"/>
          <w:lang w:val="en-US" w:eastAsia="zh-CN"/>
        </w:rPr>
        <w:t>8</w:t>
      </w:r>
      <w:r>
        <w:rPr>
          <w:rFonts w:hint="eastAsia" w:ascii="仿宋" w:hAnsi="仿宋" w:eastAsia="仿宋" w:cs="仿宋"/>
          <w:b/>
          <w:bCs/>
          <w:sz w:val="28"/>
          <w:szCs w:val="28"/>
          <w:lang w:eastAsia="zh-CN"/>
        </w:rPr>
        <w:t>供应商须</w:t>
      </w:r>
      <w:r>
        <w:rPr>
          <w:rFonts w:hint="eastAsia" w:ascii="仿宋" w:hAnsi="仿宋" w:eastAsia="仿宋" w:cs="仿宋"/>
          <w:b/>
          <w:bCs/>
          <w:sz w:val="28"/>
          <w:szCs w:val="28"/>
        </w:rPr>
        <w:t>提供所投放轮椅和轮椅收纳架的经国家认可的第三方检测机构出具的带有“CMA”标识的有效检测合格证书复印件</w:t>
      </w:r>
      <w:r>
        <w:rPr>
          <w:rFonts w:hint="eastAsia" w:ascii="仿宋" w:hAnsi="仿宋" w:eastAsia="仿宋" w:cs="仿宋"/>
          <w:b/>
          <w:bCs/>
          <w:sz w:val="28"/>
          <w:szCs w:val="28"/>
          <w:lang w:eastAsia="zh-CN"/>
        </w:rPr>
        <w:t>。</w:t>
      </w:r>
    </w:p>
    <w:p w14:paraId="17E92A36">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使用软件要求：</w:t>
      </w:r>
    </w:p>
    <w:p w14:paraId="32F2181A">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1开锁方式采用GPRS或4G网络及以上网络通信技术等两种开锁方式。</w:t>
      </w:r>
    </w:p>
    <w:p w14:paraId="3E82791E">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2智能锁能反馈记录开关锁状态和RFID识别功能，可双重功能记录开关状态。</w:t>
      </w:r>
    </w:p>
    <w:p w14:paraId="3C80C4A1">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3轮椅归还后可自动识别，可直接结束订单。</w:t>
      </w:r>
    </w:p>
    <w:p w14:paraId="2D02CDF2">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4可采用“小程序”或“公众号”，用户无需下载软件，扫码后即可进入。</w:t>
      </w:r>
    </w:p>
    <w:p w14:paraId="4FE6F4CD">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5可远程开锁及软件远程升级、重启。</w:t>
      </w:r>
    </w:p>
    <w:p w14:paraId="7DB5BF8F">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6免费时长和收费标准可按采购人要求设置。</w:t>
      </w:r>
    </w:p>
    <w:p w14:paraId="45718D9E">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b/>
          <w:bCs/>
          <w:sz w:val="28"/>
          <w:szCs w:val="28"/>
        </w:rPr>
      </w:pPr>
      <w:r>
        <w:rPr>
          <w:rFonts w:hint="eastAsia" w:ascii="仿宋" w:hAnsi="仿宋" w:eastAsia="仿宋" w:cs="仿宋"/>
          <w:sz w:val="28"/>
          <w:szCs w:val="28"/>
          <w:lang w:val="en-US" w:eastAsia="zh-CN"/>
        </w:rPr>
        <w:t>3.</w:t>
      </w:r>
      <w:r>
        <w:rPr>
          <w:rFonts w:hint="eastAsia" w:ascii="仿宋" w:hAnsi="仿宋" w:eastAsia="仿宋" w:cs="仿宋"/>
          <w:b/>
          <w:bCs/>
          <w:sz w:val="28"/>
          <w:szCs w:val="28"/>
        </w:rPr>
        <w:t>7供应商须提供服务软件主要流程截图。</w:t>
      </w:r>
    </w:p>
    <w:p w14:paraId="0B21861B">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b/>
          <w:color w:val="auto"/>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服务要求</w:t>
      </w:r>
    </w:p>
    <w:p w14:paraId="2DD9DE18">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1供应商投放的轮椅及辅助设施的质量须符合国家质量标准或规范，因质量问题造成的用户、采购人或第三人的人身伤害或财产损失由供应商承担全部赔偿责任。</w:t>
      </w:r>
    </w:p>
    <w:p w14:paraId="591B10F8">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2供应商应在采购人指定地点和范围内安装自助设备，安装符合行业和安全规范，且不得占用消防通道。若采购人要求变更安装地址的，供应商应无条件配合并在规定时间内完成迁移，迁移若产生费用由供应商承担，采购人不承担任何费用。</w:t>
      </w:r>
    </w:p>
    <w:p w14:paraId="44C17B47">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3供应商在服务期间负责自助设备的安装、调试、维修维护、日常运营维护等运营服务工作，服务期间产生的费用全部由供应商承担。</w:t>
      </w:r>
    </w:p>
    <w:p w14:paraId="4B37D661">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4供应商应在自助设备显著位置公示自助服务收费标准、使用说明、安全提示、服务电话等公开信息，因信息不透明引发的用户投诉或纠纷由供应商承担全部责任。</w:t>
      </w:r>
    </w:p>
    <w:p w14:paraId="3049325B">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5供应商应对轮椅按照规范定期清洁和消毒，并做好清洁消毒记录，采购人有权定期或不定期检查供应商的清洁消毒记录。</w:t>
      </w:r>
    </w:p>
    <w:p w14:paraId="7919C353">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6由于轮椅的使用频率较高，供应商每周不少于一次巡检设备使用情况，尤其是存在安全隐患的设备要及时维修和更换，在安全隐患排除之前拒绝用户使用。巡检时可一并做好轮椅的清洁消毒工作。</w:t>
      </w:r>
    </w:p>
    <w:p w14:paraId="61595D49">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7供应商应指派专人与采购人联系相关服务事宜，保障自助设备和服务软件全天24小时均能有效使用（用户网络通信故障除外），供应商在接到采购人或用户服务需求后，服务人员应在半小时内响应，若需到现场解决的，服务人员须在2小时内到达现场处置。后台故障非特殊原因应在4小时之内排除。</w:t>
      </w:r>
    </w:p>
    <w:p w14:paraId="18095D10">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8供应商应对自助设备使用情况进行后台监控，一旦自主发现或接采购人反映使用频率较高或可用数量不足的情形，供应商应及时做好轮椅的调配和补充工作。</w:t>
      </w:r>
    </w:p>
    <w:p w14:paraId="398C4AFE">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9供应商应定期协助采购人做好业务培训和相关宣传服务，供应商须提供电话咨询服务及用户投诉处理服务。</w:t>
      </w:r>
    </w:p>
    <w:p w14:paraId="71CC8E4E">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10供应商在履约期间，应当遵守安全生产等法律法规和医院相关制度，做好安全、环保等预防措施，因供应商原因造成的一切人身财产损失等均由供应商承担全部责任，采购人不承担任何责任。</w:t>
      </w:r>
      <w:r>
        <w:rPr>
          <w:rFonts w:hint="eastAsia" w:ascii="仿宋" w:hAnsi="仿宋" w:eastAsia="仿宋" w:cs="仿宋"/>
          <w:b/>
          <w:bCs/>
          <w:sz w:val="28"/>
          <w:szCs w:val="28"/>
        </w:rPr>
        <w:t>（供应商</w:t>
      </w:r>
      <w:r>
        <w:rPr>
          <w:rFonts w:hint="eastAsia" w:ascii="仿宋" w:hAnsi="仿宋" w:eastAsia="仿宋" w:cs="仿宋"/>
          <w:b/>
          <w:bCs/>
          <w:sz w:val="28"/>
          <w:szCs w:val="28"/>
          <w:lang w:eastAsia="zh-CN"/>
        </w:rPr>
        <w:t>须</w:t>
      </w:r>
      <w:r>
        <w:rPr>
          <w:rFonts w:hint="eastAsia" w:ascii="仿宋" w:hAnsi="仿宋" w:eastAsia="仿宋" w:cs="仿宋"/>
          <w:b/>
          <w:bCs/>
          <w:sz w:val="28"/>
          <w:szCs w:val="28"/>
        </w:rPr>
        <w:t>提供承诺函，格式自拟，并加盖供应商公章)</w:t>
      </w:r>
    </w:p>
    <w:p w14:paraId="7F0CC6D1">
      <w:pPr>
        <w:keepNext w:val="0"/>
        <w:keepLines w:val="0"/>
        <w:pageBreakBefore w:val="0"/>
        <w:kinsoku/>
        <w:wordWrap/>
        <w:overflowPunct/>
        <w:topLinePunct w:val="0"/>
        <w:autoSpaceDE/>
        <w:autoSpaceDN/>
        <w:bidi w:val="0"/>
        <w:adjustRightInd/>
        <w:snapToGrid/>
        <w:spacing w:line="400" w:lineRule="exact"/>
        <w:ind w:left="10" w:firstLine="410"/>
        <w:outlineLvl w:val="9"/>
        <w:rPr>
          <w:rFonts w:hint="eastAsia" w:ascii="仿宋" w:hAnsi="仿宋" w:eastAsia="仿宋" w:cs="仿宋"/>
          <w:b/>
          <w:bCs/>
          <w:color w:val="auto"/>
          <w:sz w:val="30"/>
          <w:szCs w:val="30"/>
          <w:lang w:val="en-US" w:eastAsia="zh-CN"/>
        </w:rPr>
      </w:pPr>
      <w:r>
        <w:rPr>
          <w:rFonts w:hint="eastAsia" w:ascii="仿宋" w:hAnsi="仿宋" w:eastAsia="仿宋" w:cs="仿宋"/>
          <w:sz w:val="30"/>
          <w:szCs w:val="30"/>
        </w:rPr>
        <w:t>★</w:t>
      </w:r>
      <w:r>
        <w:rPr>
          <w:rFonts w:hint="eastAsia" w:ascii="黑体" w:hAnsi="黑体" w:eastAsia="黑体" w:cs="黑体"/>
          <w:b/>
          <w:bCs/>
          <w:color w:val="auto"/>
          <w:sz w:val="30"/>
          <w:szCs w:val="30"/>
          <w:lang w:val="en-US" w:eastAsia="zh-CN"/>
        </w:rPr>
        <w:t>四、商务要求</w:t>
      </w:r>
    </w:p>
    <w:p w14:paraId="465C2FF7">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（一）服务期限：3年，合同一年一签，期限从合同签订生效之日起计算。</w:t>
      </w:r>
    </w:p>
    <w:p w14:paraId="2071A499">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（二）服务地点：内江市第一人民医院院区内。</w:t>
      </w:r>
    </w:p>
    <w:p w14:paraId="5E9F2F5F">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（三）服务管理费缴纳约定：供应商按不低于100元/台/月的</w:t>
      </w:r>
      <w:r>
        <w:rPr>
          <w:rFonts w:hint="eastAsia" w:ascii="仿宋" w:hAnsi="仿宋" w:eastAsia="仿宋" w:cs="仿宋"/>
          <w:sz w:val="28"/>
          <w:szCs w:val="28"/>
          <w:lang w:eastAsia="zh-CN"/>
        </w:rPr>
        <w:t>管理费</w:t>
      </w:r>
      <w:r>
        <w:rPr>
          <w:rFonts w:hint="eastAsia" w:ascii="仿宋" w:hAnsi="仿宋" w:eastAsia="仿宋" w:cs="仿宋"/>
          <w:sz w:val="28"/>
          <w:szCs w:val="28"/>
        </w:rPr>
        <w:t>成交报价、数量不少于10台的基准量（按初期实际投放数量计算）三个月一次向采购人缴纳服务管理费。若供应商增加轮椅数量的，从增加当月起</w:t>
      </w:r>
      <w:r>
        <w:rPr>
          <w:rFonts w:hint="eastAsia" w:ascii="仿宋" w:hAnsi="仿宋" w:eastAsia="仿宋" w:cs="仿宋"/>
          <w:sz w:val="28"/>
          <w:szCs w:val="28"/>
          <w:lang w:eastAsia="zh-CN"/>
        </w:rPr>
        <w:t>按每台每月的管理费成交报价</w:t>
      </w:r>
      <w:r>
        <w:rPr>
          <w:rFonts w:hint="eastAsia" w:ascii="仿宋" w:hAnsi="仿宋" w:eastAsia="仿宋" w:cs="仿宋"/>
          <w:sz w:val="28"/>
          <w:szCs w:val="28"/>
        </w:rPr>
        <w:t>计缴管理费；若供应商减少轮椅数量的，从减少次月起减少部分不再计缴管理费，但减少后的数量不得少于10台。供应商应在合同签订生效后10个工作日内向采购人缴纳首期管理费，以后每隔三个月后内的前10个工作日内缴纳下一期管理费，以此类推，计费周期以合同签订生效日期为基准。</w:t>
      </w:r>
    </w:p>
    <w:p w14:paraId="34C46060">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（四）收费标准要求：</w:t>
      </w:r>
    </w:p>
    <w:p w14:paraId="0823F3BE">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1.押金标准：每台控制在</w:t>
      </w:r>
      <w:r>
        <w:rPr>
          <w:rFonts w:hint="eastAsia" w:ascii="仿宋" w:hAnsi="仿宋" w:eastAsia="仿宋" w:cs="仿宋"/>
          <w:sz w:val="28"/>
          <w:szCs w:val="28"/>
          <w:lang w:val="en-US" w:eastAsia="zh-CN"/>
        </w:rPr>
        <w:t>300</w:t>
      </w:r>
      <w:r>
        <w:rPr>
          <w:rFonts w:hint="eastAsia" w:ascii="仿宋" w:hAnsi="仿宋" w:eastAsia="仿宋" w:cs="仿宋"/>
          <w:sz w:val="28"/>
          <w:szCs w:val="28"/>
        </w:rPr>
        <w:t>元以内</w:t>
      </w:r>
    </w:p>
    <w:p w14:paraId="1E1D4B3F">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2.免费时长：每天用户首次租用免费时长不少于60分钟</w:t>
      </w:r>
    </w:p>
    <w:p w14:paraId="53D44F97">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3.收费标准：超过免费时长后每小时收费不得高于6元</w:t>
      </w:r>
    </w:p>
    <w:p w14:paraId="293D1230">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4.每日收费封顶标准：用户首次租用起24小时内总共收费不超过50元</w:t>
      </w:r>
    </w:p>
    <w:p w14:paraId="7B8D3623">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五</w:t>
      </w:r>
      <w:r>
        <w:rPr>
          <w:rFonts w:hint="eastAsia" w:ascii="仿宋" w:hAnsi="仿宋" w:eastAsia="仿宋" w:cs="仿宋"/>
          <w:sz w:val="28"/>
          <w:szCs w:val="28"/>
        </w:rPr>
        <w:t>）履约能力要求</w:t>
      </w:r>
    </w:p>
    <w:p w14:paraId="180E1A82">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1.供应商或共享轮椅品牌运营商具有合法且在有效期内的GB/T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19001质量管理体系认证证书</w:t>
      </w:r>
      <w:r>
        <w:rPr>
          <w:rFonts w:hint="eastAsia" w:ascii="仿宋" w:hAnsi="仿宋" w:eastAsia="仿宋" w:cs="仿宋"/>
          <w:b/>
          <w:bCs/>
          <w:sz w:val="28"/>
          <w:szCs w:val="28"/>
          <w:lang w:eastAsia="zh-CN"/>
        </w:rPr>
        <w:t>（供应商须提供证书复印件）</w:t>
      </w:r>
      <w:r>
        <w:rPr>
          <w:rFonts w:hint="eastAsia" w:ascii="仿宋" w:hAnsi="仿宋" w:eastAsia="仿宋" w:cs="仿宋"/>
          <w:sz w:val="28"/>
          <w:szCs w:val="28"/>
        </w:rPr>
        <w:t>。</w:t>
      </w:r>
    </w:p>
    <w:p w14:paraId="14FEC95F">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b/>
          <w:bCs/>
          <w:sz w:val="28"/>
          <w:szCs w:val="28"/>
        </w:rPr>
      </w:pPr>
      <w:r>
        <w:rPr>
          <w:rFonts w:hint="eastAsia" w:ascii="仿宋" w:hAnsi="仿宋" w:eastAsia="仿宋" w:cs="仿宋"/>
          <w:sz w:val="28"/>
          <w:szCs w:val="28"/>
        </w:rPr>
        <w:t>2.供应商或共享轮椅品牌运营商已为共享轮椅投保产品责任险或承诺在合同签订后投保产品责任险，保额不低于100万元。</w:t>
      </w:r>
      <w:r>
        <w:rPr>
          <w:rFonts w:hint="eastAsia" w:ascii="仿宋" w:hAnsi="仿宋" w:eastAsia="仿宋" w:cs="仿宋"/>
          <w:b/>
          <w:bCs/>
          <w:sz w:val="28"/>
          <w:szCs w:val="28"/>
        </w:rPr>
        <w:t>（供应商提供保单或承诺函，承诺函格式自拟）</w:t>
      </w:r>
    </w:p>
    <w:p w14:paraId="1F35577B">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3.业绩要求：供应商或共享轮椅品牌运营商提供不少于</w:t>
      </w:r>
      <w:r>
        <w:rPr>
          <w:rFonts w:hint="eastAsia" w:ascii="仿宋" w:hAnsi="仿宋" w:eastAsia="仿宋" w:cs="仿宋"/>
          <w:sz w:val="28"/>
          <w:szCs w:val="28"/>
          <w:lang w:val="en-US" w:eastAsia="zh-CN"/>
        </w:rPr>
        <w:t>3</w:t>
      </w:r>
      <w:r>
        <w:rPr>
          <w:rFonts w:hint="eastAsia" w:ascii="仿宋" w:hAnsi="仿宋" w:eastAsia="仿宋" w:cs="仿宋"/>
          <w:sz w:val="28"/>
          <w:szCs w:val="28"/>
        </w:rPr>
        <w:t>个2023年1月1日以来的共享轮椅运营业绩</w:t>
      </w:r>
      <w:r>
        <w:rPr>
          <w:rFonts w:hint="eastAsia" w:ascii="仿宋" w:hAnsi="仿宋" w:eastAsia="仿宋" w:cs="仿宋"/>
          <w:b/>
          <w:bCs/>
          <w:sz w:val="28"/>
          <w:szCs w:val="28"/>
        </w:rPr>
        <w:t>（提供业绩合同复印件，以合同签订时间为准）</w:t>
      </w:r>
    </w:p>
    <w:p w14:paraId="73FF6EC2">
      <w:pPr>
        <w:keepNext w:val="0"/>
        <w:keepLines w:val="0"/>
        <w:pageBreakBefore w:val="0"/>
        <w:kinsoku/>
        <w:wordWrap/>
        <w:overflowPunct/>
        <w:topLinePunct w:val="0"/>
        <w:autoSpaceDE/>
        <w:autoSpaceDN/>
        <w:bidi w:val="0"/>
        <w:adjustRightInd/>
        <w:snapToGrid/>
        <w:spacing w:line="400" w:lineRule="exact"/>
        <w:ind w:firstLine="562" w:firstLineChars="200"/>
        <w:outlineLvl w:val="9"/>
        <w:rPr>
          <w:rFonts w:hint="eastAsia" w:ascii="仿宋" w:hAnsi="仿宋" w:eastAsia="仿宋" w:cs="仿宋"/>
          <w:b/>
          <w:bCs/>
          <w:sz w:val="28"/>
          <w:szCs w:val="28"/>
        </w:rPr>
      </w:pPr>
      <w:r>
        <w:rPr>
          <w:rFonts w:hint="eastAsia" w:ascii="仿宋" w:hAnsi="仿宋" w:eastAsia="仿宋" w:cs="仿宋"/>
          <w:b/>
          <w:bCs/>
          <w:sz w:val="28"/>
          <w:szCs w:val="28"/>
        </w:rPr>
        <w:t>注：供应商提供共享轮椅品牌运营商以上资料的，须提供供应商与品牌运营商在有效期内的合作协议复印件，否则不予认可。</w:t>
      </w:r>
    </w:p>
    <w:p w14:paraId="20611655">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六</w:t>
      </w:r>
      <w:r>
        <w:rPr>
          <w:rFonts w:hint="eastAsia" w:ascii="仿宋" w:hAnsi="仿宋" w:eastAsia="仿宋" w:cs="仿宋"/>
          <w:sz w:val="28"/>
          <w:szCs w:val="28"/>
        </w:rPr>
        <w:t>）供应商应保证所提供的服务和产品均不会侵犯任何第三方的知识产权，且权属清楚。如因此与第三人发生争议、诉讼或仲裁案件，由供应商承担全部责任，并负责赔偿采购人由此而遭受的全部损失。</w:t>
      </w:r>
    </w:p>
    <w:p w14:paraId="26C3504D">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七</w:t>
      </w:r>
      <w:r>
        <w:rPr>
          <w:rFonts w:hint="eastAsia" w:ascii="仿宋" w:hAnsi="仿宋" w:eastAsia="仿宋" w:cs="仿宋"/>
          <w:sz w:val="28"/>
          <w:szCs w:val="28"/>
        </w:rPr>
        <w:t>）缔约过失责任</w:t>
      </w:r>
    </w:p>
    <w:p w14:paraId="31298B86">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1.供应商成交后无正当理由未能在规定时间内与采购人签订合同的，需向采购人支付本项目</w:t>
      </w:r>
      <w:r>
        <w:rPr>
          <w:rFonts w:hint="eastAsia" w:ascii="仿宋" w:hAnsi="仿宋" w:eastAsia="仿宋" w:cs="仿宋"/>
          <w:sz w:val="28"/>
          <w:szCs w:val="28"/>
          <w:lang w:eastAsia="zh-CN"/>
        </w:rPr>
        <w:t>最低应收</w:t>
      </w:r>
      <w:r>
        <w:rPr>
          <w:rFonts w:hint="eastAsia" w:ascii="仿宋" w:hAnsi="仿宋" w:eastAsia="仿宋" w:cs="仿宋"/>
          <w:sz w:val="28"/>
          <w:szCs w:val="28"/>
        </w:rPr>
        <w:t>服务管理费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12000元</w:t>
      </w:r>
      <w:r>
        <w:rPr>
          <w:rFonts w:hint="eastAsia" w:ascii="仿宋" w:hAnsi="仿宋" w:eastAsia="仿宋" w:cs="仿宋"/>
          <w:sz w:val="28"/>
          <w:szCs w:val="28"/>
          <w:lang w:eastAsia="zh-CN"/>
        </w:rPr>
        <w:t>）</w:t>
      </w:r>
      <w:r>
        <w:rPr>
          <w:rFonts w:hint="eastAsia" w:ascii="仿宋" w:hAnsi="仿宋" w:eastAsia="仿宋" w:cs="仿宋"/>
          <w:sz w:val="28"/>
          <w:szCs w:val="28"/>
        </w:rPr>
        <w:t>的 30%作为赔偿金。赔偿金不足以弥补采购人全部损失的，还应赔偿采购人全部损失。</w:t>
      </w:r>
    </w:p>
    <w:p w14:paraId="072693B8">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val="en-US" w:eastAsia="zh-CN"/>
        </w:rPr>
      </w:pPr>
      <w:r>
        <w:rPr>
          <w:rFonts w:hint="eastAsia" w:ascii="仿宋" w:hAnsi="仿宋" w:eastAsia="仿宋" w:cs="仿宋"/>
          <w:sz w:val="28"/>
          <w:szCs w:val="28"/>
        </w:rPr>
        <w:t>2.若成交供应商提交的响应文件存在虚假材料或虚假响应的情况，成交供应商应向采购人支付本项目</w:t>
      </w:r>
      <w:r>
        <w:rPr>
          <w:rFonts w:hint="eastAsia" w:ascii="仿宋" w:hAnsi="仿宋" w:eastAsia="仿宋" w:cs="仿宋"/>
          <w:sz w:val="28"/>
          <w:szCs w:val="28"/>
          <w:lang w:eastAsia="zh-CN"/>
        </w:rPr>
        <w:t>最低应收</w:t>
      </w:r>
      <w:r>
        <w:rPr>
          <w:rFonts w:hint="eastAsia" w:ascii="仿宋" w:hAnsi="仿宋" w:eastAsia="仿宋" w:cs="仿宋"/>
          <w:sz w:val="28"/>
          <w:szCs w:val="28"/>
        </w:rPr>
        <w:t>服务管理费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12000元</w:t>
      </w:r>
      <w:r>
        <w:rPr>
          <w:rFonts w:hint="eastAsia" w:ascii="仿宋" w:hAnsi="仿宋" w:eastAsia="仿宋" w:cs="仿宋"/>
          <w:sz w:val="28"/>
          <w:szCs w:val="28"/>
          <w:lang w:eastAsia="zh-CN"/>
        </w:rPr>
        <w:t>）的</w:t>
      </w:r>
      <w:r>
        <w:rPr>
          <w:rFonts w:hint="eastAsia" w:ascii="仿宋" w:hAnsi="仿宋" w:eastAsia="仿宋" w:cs="仿宋"/>
          <w:sz w:val="28"/>
          <w:szCs w:val="28"/>
        </w:rPr>
        <w:t>30%</w:t>
      </w:r>
      <w:r>
        <w:rPr>
          <w:rFonts w:hint="eastAsia" w:ascii="仿宋" w:hAnsi="仿宋" w:eastAsia="仿宋" w:cs="仿宋"/>
          <w:sz w:val="28"/>
          <w:szCs w:val="28"/>
          <w:lang w:eastAsia="zh-CN"/>
        </w:rPr>
        <w:t>作为</w:t>
      </w:r>
      <w:r>
        <w:rPr>
          <w:rFonts w:hint="eastAsia" w:ascii="仿宋" w:hAnsi="仿宋" w:eastAsia="仿宋" w:cs="仿宋"/>
          <w:sz w:val="28"/>
          <w:szCs w:val="28"/>
        </w:rPr>
        <w:t>赔偿金。</w:t>
      </w:r>
    </w:p>
    <w:p w14:paraId="0C67212B">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（八）违约责任：</w:t>
      </w:r>
    </w:p>
    <w:p w14:paraId="171A7CE1">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由于供应商违反合同中所约定之内容，不能按时完成服务目标的，采购人有权要求供应商在规定时间内整改。若供应商两次未于采购人规定的整改期限内完成整改的，采购人有权终止合同。造成采购人经济损失的，供应商应当予以赔偿。</w:t>
      </w:r>
    </w:p>
    <w:p w14:paraId="20739406">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供应商不能按时提供服务或逾期提供服务的，每逾期1日应向采购人偿付合同总金额的1‰的违约金；逾期超过</w:t>
      </w:r>
      <w:r>
        <w:rPr>
          <w:rFonts w:hint="eastAsia" w:ascii="仿宋" w:hAnsi="仿宋" w:eastAsia="仿宋" w:cs="仿宋"/>
          <w:sz w:val="28"/>
          <w:szCs w:val="28"/>
          <w:lang w:val="en-US" w:eastAsia="zh-CN"/>
        </w:rPr>
        <w:t>30</w:t>
      </w:r>
      <w:r>
        <w:rPr>
          <w:rFonts w:hint="eastAsia" w:ascii="仿宋" w:hAnsi="仿宋" w:eastAsia="仿宋" w:cs="仿宋"/>
          <w:sz w:val="28"/>
          <w:szCs w:val="28"/>
          <w:lang w:eastAsia="zh-CN"/>
        </w:rPr>
        <w:t>日的，采购人有权单方面解除采购合同，供应商应按合同总金额的30%向采购人偿付违约金。</w:t>
      </w:r>
    </w:p>
    <w:p w14:paraId="36379FA6">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因供应商违反合同约定提供的服务不到位或服务延迟，造成采购人被监管部门通报或行政处罚予以罚款的，该罚款由供应商承担，若采购人先行垫付的，有权向供应商追偿。除此之外，供应商应当向采购人支付合同总金额的30%的违约金。同时，采购人有权单方面解除采购合同。</w:t>
      </w:r>
    </w:p>
    <w:p w14:paraId="72FEF7A5">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供应商明确表示或以自己的行为表明不履行合同义务的，应当向采购人支付合同总金额30%的违约金，同时甲方有权单方面解除本合同。</w:t>
      </w:r>
    </w:p>
    <w:p w14:paraId="3EAF3B4F">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合同生效后，双方均应全面履行合同约定的义务。任何一方不履行或不完全履行合同约定义务的，应当承担相应的违约责任，并赔偿由此给守约方造成的全部损失，包括但不限于守约方为实现债权而支付的律师费、保全费、诉讼费、公证费、鉴定费等。</w:t>
      </w:r>
    </w:p>
    <w:p w14:paraId="6047C6F2">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供应商擅自变更、中止、终止、解除合同的，应按合同总金额30%支付违约金，同时采购人有权单方面解除采购合同。</w:t>
      </w:r>
    </w:p>
    <w:p w14:paraId="1E22179A">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合同所涉各类违约金应于30日内支付。</w:t>
      </w:r>
    </w:p>
    <w:p w14:paraId="5CE24E42">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（九）争议解决办法：</w:t>
      </w:r>
    </w:p>
    <w:p w14:paraId="5CBA237F">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因服务（产品）质量发生的问题争议，可由国家认可的鉴定机构进行鉴定。服务（产品）质量符合规范标准的，鉴定费由采购人承担；不符合规范标准的，鉴定费由供应商承担。</w:t>
      </w:r>
    </w:p>
    <w:p w14:paraId="208FAC49">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合同履行期间，若双方发生争议，可协商或由有关部门调解解决，协商或调解不成的，可向采购人所在地人民法院依法提起诉讼。</w:t>
      </w:r>
    </w:p>
    <w:p w14:paraId="03367E52">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在诉讼期间，除正在进行诉讼部分外，合同其他部分继续执行。</w:t>
      </w:r>
    </w:p>
    <w:p w14:paraId="66C15AD6">
      <w:pPr>
        <w:keepNext w:val="0"/>
        <w:keepLines w:val="0"/>
        <w:pageBreakBefore w:val="0"/>
        <w:kinsoku/>
        <w:wordWrap/>
        <w:overflowPunct/>
        <w:topLinePunct w:val="0"/>
        <w:autoSpaceDE/>
        <w:autoSpaceDN/>
        <w:bidi w:val="0"/>
        <w:adjustRightInd/>
        <w:snapToGrid/>
        <w:spacing w:line="400" w:lineRule="exact"/>
        <w:ind w:firstLine="562" w:firstLineChars="200"/>
        <w:outlineLvl w:val="9"/>
        <w:rPr>
          <w:rFonts w:hint="eastAsia" w:ascii="仿宋" w:hAnsi="仿宋" w:eastAsia="仿宋" w:cs="仿宋"/>
          <w:b/>
          <w:bCs/>
          <w:sz w:val="28"/>
          <w:szCs w:val="28"/>
        </w:rPr>
      </w:pPr>
    </w:p>
    <w:p w14:paraId="64E79AE5">
      <w:pPr>
        <w:keepNext w:val="0"/>
        <w:keepLines w:val="0"/>
        <w:pageBreakBefore w:val="0"/>
        <w:kinsoku/>
        <w:wordWrap/>
        <w:overflowPunct/>
        <w:topLinePunct w:val="0"/>
        <w:autoSpaceDE/>
        <w:autoSpaceDN/>
        <w:bidi w:val="0"/>
        <w:adjustRightInd/>
        <w:snapToGrid/>
        <w:spacing w:line="400" w:lineRule="exact"/>
        <w:ind w:firstLine="600" w:firstLineChars="200"/>
        <w:outlineLvl w:val="9"/>
        <w:rPr>
          <w:rFonts w:hint="eastAsia" w:ascii="黑体" w:hAnsi="黑体" w:eastAsia="黑体" w:cs="黑体"/>
          <w:b/>
          <w:bCs/>
          <w:sz w:val="30"/>
          <w:szCs w:val="30"/>
        </w:rPr>
      </w:pPr>
      <w:r>
        <w:rPr>
          <w:rFonts w:hint="eastAsia" w:ascii="仿宋" w:hAnsi="仿宋" w:eastAsia="仿宋" w:cs="仿宋"/>
          <w:sz w:val="30"/>
          <w:szCs w:val="30"/>
        </w:rPr>
        <w:t>★</w:t>
      </w:r>
      <w:r>
        <w:rPr>
          <w:rFonts w:hint="eastAsia" w:ascii="黑体" w:hAnsi="黑体" w:eastAsia="黑体" w:cs="黑体"/>
          <w:b/>
          <w:bCs/>
          <w:sz w:val="30"/>
          <w:szCs w:val="30"/>
          <w:lang w:eastAsia="zh-CN"/>
        </w:rPr>
        <w:t>五、</w:t>
      </w:r>
      <w:r>
        <w:rPr>
          <w:rFonts w:hint="eastAsia" w:ascii="黑体" w:hAnsi="黑体" w:eastAsia="黑体" w:cs="黑体"/>
          <w:b/>
          <w:bCs/>
          <w:sz w:val="30"/>
          <w:szCs w:val="30"/>
        </w:rPr>
        <w:t>报价要求：</w:t>
      </w:r>
    </w:p>
    <w:p w14:paraId="5DE8532E">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rPr>
        <w:t>1.服务管理费</w:t>
      </w:r>
      <w:r>
        <w:rPr>
          <w:rFonts w:hint="eastAsia" w:ascii="仿宋" w:hAnsi="仿宋" w:eastAsia="仿宋" w:cs="仿宋"/>
          <w:sz w:val="28"/>
          <w:szCs w:val="28"/>
          <w:lang w:eastAsia="zh-CN"/>
        </w:rPr>
        <w:t>：</w:t>
      </w:r>
      <w:r>
        <w:rPr>
          <w:rFonts w:hint="eastAsia" w:ascii="仿宋" w:hAnsi="仿宋" w:eastAsia="仿宋" w:cs="仿宋"/>
          <w:sz w:val="28"/>
          <w:szCs w:val="28"/>
        </w:rPr>
        <w:t>按不低于100元/台/月进行报价</w:t>
      </w:r>
      <w:r>
        <w:rPr>
          <w:rFonts w:hint="eastAsia" w:ascii="仿宋" w:hAnsi="仿宋" w:eastAsia="仿宋" w:cs="仿宋"/>
          <w:sz w:val="28"/>
          <w:szCs w:val="28"/>
          <w:lang w:eastAsia="zh-CN"/>
        </w:rPr>
        <w:t>。</w:t>
      </w:r>
    </w:p>
    <w:p w14:paraId="4C9F9FBF">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rPr>
        <w:t>2.免费时长</w:t>
      </w:r>
      <w:r>
        <w:rPr>
          <w:rFonts w:hint="eastAsia" w:ascii="仿宋" w:hAnsi="仿宋" w:eastAsia="仿宋" w:cs="仿宋"/>
          <w:sz w:val="28"/>
          <w:szCs w:val="28"/>
          <w:lang w:eastAsia="zh-CN"/>
        </w:rPr>
        <w:t>：</w:t>
      </w:r>
      <w:r>
        <w:rPr>
          <w:rFonts w:hint="eastAsia" w:ascii="仿宋" w:hAnsi="仿宋" w:eastAsia="仿宋" w:cs="仿宋"/>
          <w:sz w:val="28"/>
          <w:szCs w:val="28"/>
        </w:rPr>
        <w:t>按免费分钟数报价</w:t>
      </w:r>
      <w:r>
        <w:rPr>
          <w:rFonts w:hint="eastAsia" w:ascii="仿宋" w:hAnsi="仿宋" w:eastAsia="仿宋" w:cs="仿宋"/>
          <w:sz w:val="28"/>
          <w:szCs w:val="28"/>
          <w:lang w:eastAsia="zh-CN"/>
        </w:rPr>
        <w:t>。</w:t>
      </w:r>
    </w:p>
    <w:p w14:paraId="3BA1ABF2">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eastAsia="zh-CN"/>
        </w:rPr>
      </w:pPr>
      <w:r>
        <w:rPr>
          <w:rFonts w:hint="eastAsia" w:ascii="仿宋" w:hAnsi="仿宋" w:eastAsia="仿宋" w:cs="仿宋"/>
          <w:sz w:val="28"/>
          <w:szCs w:val="28"/>
        </w:rPr>
        <w:t>3.押金标准、收费标准和每日收费封顶标准按</w:t>
      </w:r>
      <w:r>
        <w:rPr>
          <w:rFonts w:hint="eastAsia" w:ascii="仿宋" w:hAnsi="仿宋" w:eastAsia="仿宋" w:cs="仿宋"/>
          <w:sz w:val="28"/>
          <w:szCs w:val="28"/>
          <w:lang w:eastAsia="zh-CN"/>
        </w:rPr>
        <w:t>商务要求中</w:t>
      </w:r>
      <w:r>
        <w:rPr>
          <w:rFonts w:hint="eastAsia" w:ascii="仿宋" w:hAnsi="仿宋" w:eastAsia="仿宋" w:cs="仿宋"/>
          <w:sz w:val="28"/>
          <w:szCs w:val="28"/>
        </w:rPr>
        <w:t>“收费标准要求”报价</w:t>
      </w:r>
      <w:r>
        <w:rPr>
          <w:rFonts w:hint="eastAsia" w:ascii="仿宋" w:hAnsi="仿宋" w:eastAsia="仿宋" w:cs="仿宋"/>
          <w:sz w:val="28"/>
          <w:szCs w:val="28"/>
          <w:lang w:eastAsia="zh-CN"/>
        </w:rPr>
        <w:t>。</w:t>
      </w:r>
    </w:p>
    <w:p w14:paraId="43374E19">
      <w:pPr>
        <w:keepNext w:val="0"/>
        <w:keepLines w:val="0"/>
        <w:pageBreakBefore w:val="0"/>
        <w:kinsoku/>
        <w:wordWrap/>
        <w:overflowPunct/>
        <w:topLinePunct w:val="0"/>
        <w:autoSpaceDE/>
        <w:autoSpaceDN/>
        <w:bidi w:val="0"/>
        <w:adjustRightInd/>
        <w:snapToGrid/>
        <w:spacing w:line="400" w:lineRule="exact"/>
        <w:ind w:firstLine="560" w:firstLineChars="200"/>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4.报价分值：</w:t>
      </w:r>
      <w:bookmarkStart w:id="0" w:name="OLE_LINK1"/>
      <w:r>
        <w:rPr>
          <w:rFonts w:hint="eastAsia" w:ascii="仿宋" w:hAnsi="仿宋" w:eastAsia="仿宋" w:cs="仿宋"/>
          <w:sz w:val="28"/>
          <w:szCs w:val="28"/>
          <w:lang w:val="en-US" w:eastAsia="zh-CN"/>
        </w:rPr>
        <w:t>供应商根据《报价分值表》（见下表）报价项目和分值在《项目报价表》（见附件1）中一次性报出不可更改的价格（时长），采购人按供应商每项报价计算出相应得分之和后进行比较，总得分最高的供应商为中选供应商。总得分相同的，比较服务管理费，服务管理费高者为中选供应商；总得分和服务管理费均相同的，抽签决定中选供应商。</w:t>
      </w:r>
    </w:p>
    <w:bookmarkEnd w:id="0"/>
    <w:p w14:paraId="2667FBB9">
      <w:pPr>
        <w:keepNext w:val="0"/>
        <w:keepLines w:val="0"/>
        <w:pageBreakBefore w:val="0"/>
        <w:wordWrap/>
        <w:overflowPunct/>
        <w:topLinePunct w:val="0"/>
        <w:bidi w:val="0"/>
        <w:spacing w:line="360" w:lineRule="exact"/>
        <w:ind w:firstLine="562" w:firstLineChars="200"/>
        <w:jc w:val="center"/>
        <w:outlineLvl w:val="9"/>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报价分值表</w:t>
      </w:r>
    </w:p>
    <w:tbl>
      <w:tblPr>
        <w:tblStyle w:val="10"/>
        <w:tblW w:w="7724" w:type="dxa"/>
        <w:tblInd w:w="5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961"/>
        <w:gridCol w:w="1375"/>
        <w:gridCol w:w="3488"/>
      </w:tblGrid>
      <w:tr w14:paraId="3779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0096298C">
            <w:pPr>
              <w:keepNext w:val="0"/>
              <w:keepLines w:val="0"/>
              <w:pageBreakBefore w:val="0"/>
              <w:wordWrap/>
              <w:overflowPunct/>
              <w:topLinePunct w:val="0"/>
              <w:bidi w:val="0"/>
              <w:spacing w:line="360" w:lineRule="exact"/>
              <w:jc w:val="center"/>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序号</w:t>
            </w:r>
          </w:p>
        </w:tc>
        <w:tc>
          <w:tcPr>
            <w:tcW w:w="1961" w:type="dxa"/>
          </w:tcPr>
          <w:p w14:paraId="4E0D7772">
            <w:pPr>
              <w:keepNext w:val="0"/>
              <w:keepLines w:val="0"/>
              <w:pageBreakBefore w:val="0"/>
              <w:wordWrap/>
              <w:overflowPunct/>
              <w:topLinePunct w:val="0"/>
              <w:bidi w:val="0"/>
              <w:spacing w:line="360" w:lineRule="exact"/>
              <w:jc w:val="center"/>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报价项目</w:t>
            </w:r>
          </w:p>
        </w:tc>
        <w:tc>
          <w:tcPr>
            <w:tcW w:w="1375" w:type="dxa"/>
          </w:tcPr>
          <w:p w14:paraId="521F17A7">
            <w:pPr>
              <w:keepNext w:val="0"/>
              <w:keepLines w:val="0"/>
              <w:pageBreakBefore w:val="0"/>
              <w:wordWrap/>
              <w:overflowPunct/>
              <w:topLinePunct w:val="0"/>
              <w:bidi w:val="0"/>
              <w:spacing w:line="360" w:lineRule="exact"/>
              <w:jc w:val="center"/>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标准分值</w:t>
            </w:r>
          </w:p>
        </w:tc>
        <w:tc>
          <w:tcPr>
            <w:tcW w:w="3488" w:type="dxa"/>
          </w:tcPr>
          <w:p w14:paraId="4D8E5EB8">
            <w:pPr>
              <w:keepNext w:val="0"/>
              <w:keepLines w:val="0"/>
              <w:pageBreakBefore w:val="0"/>
              <w:wordWrap/>
              <w:overflowPunct/>
              <w:topLinePunct w:val="0"/>
              <w:bidi w:val="0"/>
              <w:spacing w:line="360" w:lineRule="exact"/>
              <w:jc w:val="center"/>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lang w:val="en-US" w:eastAsia="zh-CN"/>
              </w:rPr>
              <w:t>报价得分计算</w:t>
            </w:r>
            <w:r>
              <w:rPr>
                <w:rFonts w:hint="eastAsia" w:ascii="仿宋" w:hAnsi="仿宋" w:eastAsia="仿宋" w:cs="仿宋"/>
                <w:b/>
                <w:bCs/>
                <w:sz w:val="28"/>
                <w:szCs w:val="28"/>
                <w:vertAlign w:val="baseline"/>
                <w:lang w:eastAsia="zh-CN"/>
              </w:rPr>
              <w:t>说明</w:t>
            </w:r>
          </w:p>
        </w:tc>
      </w:tr>
      <w:tr w14:paraId="1F43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 w:type="dxa"/>
            <w:vAlign w:val="center"/>
          </w:tcPr>
          <w:p w14:paraId="4D0B3C71">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p>
        </w:tc>
        <w:tc>
          <w:tcPr>
            <w:tcW w:w="1961" w:type="dxa"/>
            <w:vAlign w:val="center"/>
          </w:tcPr>
          <w:p w14:paraId="5EEADFB2">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服务管理费</w:t>
            </w:r>
          </w:p>
        </w:tc>
        <w:tc>
          <w:tcPr>
            <w:tcW w:w="1375" w:type="dxa"/>
            <w:vAlign w:val="center"/>
          </w:tcPr>
          <w:p w14:paraId="6978134C">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10</w:t>
            </w:r>
          </w:p>
        </w:tc>
        <w:tc>
          <w:tcPr>
            <w:tcW w:w="3488" w:type="dxa"/>
            <w:vAlign w:val="center"/>
          </w:tcPr>
          <w:p w14:paraId="73DA058A">
            <w:pPr>
              <w:keepNext w:val="0"/>
              <w:keepLines w:val="0"/>
              <w:pageBreakBefore w:val="0"/>
              <w:wordWrap/>
              <w:overflowPunct/>
              <w:topLinePunct w:val="0"/>
              <w:bidi w:val="0"/>
              <w:spacing w:line="360" w:lineRule="exact"/>
              <w:jc w:val="left"/>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满足询价文件要求且报价最高的为评审基准价，价格得分=（报价/评审基准价）×10</w:t>
            </w:r>
          </w:p>
        </w:tc>
      </w:tr>
      <w:tr w14:paraId="452E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 w:type="dxa"/>
            <w:vAlign w:val="center"/>
          </w:tcPr>
          <w:p w14:paraId="04A138DB">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p>
        </w:tc>
        <w:tc>
          <w:tcPr>
            <w:tcW w:w="1961" w:type="dxa"/>
            <w:vAlign w:val="center"/>
          </w:tcPr>
          <w:p w14:paraId="0394B25C">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押金标准</w:t>
            </w:r>
          </w:p>
        </w:tc>
        <w:tc>
          <w:tcPr>
            <w:tcW w:w="1375" w:type="dxa"/>
            <w:vAlign w:val="center"/>
          </w:tcPr>
          <w:p w14:paraId="73A2620D">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w:t>
            </w:r>
          </w:p>
        </w:tc>
        <w:tc>
          <w:tcPr>
            <w:tcW w:w="3488" w:type="dxa"/>
            <w:vAlign w:val="center"/>
          </w:tcPr>
          <w:p w14:paraId="6AE6C0E7">
            <w:pPr>
              <w:keepNext w:val="0"/>
              <w:keepLines w:val="0"/>
              <w:pageBreakBefore w:val="0"/>
              <w:wordWrap/>
              <w:overflowPunct/>
              <w:topLinePunct w:val="0"/>
              <w:bidi w:val="0"/>
              <w:spacing w:line="360" w:lineRule="exact"/>
              <w:jc w:val="left"/>
              <w:outlineLvl w:val="9"/>
              <w:rPr>
                <w:rFonts w:hint="eastAsia" w:ascii="仿宋" w:hAnsi="仿宋" w:eastAsia="仿宋" w:cs="仿宋"/>
                <w:sz w:val="28"/>
                <w:szCs w:val="28"/>
                <w:vertAlign w:val="baseline"/>
                <w:lang w:val="en-US" w:eastAsia="zh-CN"/>
              </w:rPr>
            </w:pPr>
            <w:bookmarkStart w:id="1" w:name="OLE_LINK2"/>
            <w:r>
              <w:rPr>
                <w:rFonts w:hint="eastAsia" w:ascii="仿宋" w:hAnsi="仿宋" w:eastAsia="仿宋" w:cs="仿宋"/>
                <w:sz w:val="28"/>
                <w:szCs w:val="28"/>
                <w:vertAlign w:val="baseline"/>
                <w:lang w:val="en-US" w:eastAsia="zh-CN"/>
              </w:rPr>
              <w:t>满足询价文件要求且报价最低的为评审基准价，价格得分=（评审基准价/报价）×</w:t>
            </w:r>
            <w:bookmarkEnd w:id="1"/>
            <w:r>
              <w:rPr>
                <w:rFonts w:hint="eastAsia" w:ascii="仿宋" w:hAnsi="仿宋" w:eastAsia="仿宋" w:cs="仿宋"/>
                <w:sz w:val="28"/>
                <w:szCs w:val="28"/>
                <w:vertAlign w:val="baseline"/>
                <w:lang w:val="en-US" w:eastAsia="zh-CN"/>
              </w:rPr>
              <w:t>20</w:t>
            </w:r>
          </w:p>
        </w:tc>
      </w:tr>
      <w:tr w14:paraId="3333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 w:type="dxa"/>
            <w:vAlign w:val="center"/>
          </w:tcPr>
          <w:p w14:paraId="20E355BE">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p>
        </w:tc>
        <w:tc>
          <w:tcPr>
            <w:tcW w:w="1961" w:type="dxa"/>
            <w:vAlign w:val="center"/>
          </w:tcPr>
          <w:p w14:paraId="111115B4">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免费时长</w:t>
            </w:r>
          </w:p>
        </w:tc>
        <w:tc>
          <w:tcPr>
            <w:tcW w:w="1375" w:type="dxa"/>
            <w:vAlign w:val="center"/>
          </w:tcPr>
          <w:p w14:paraId="78CCC1DE">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w:t>
            </w:r>
          </w:p>
        </w:tc>
        <w:tc>
          <w:tcPr>
            <w:tcW w:w="3488" w:type="dxa"/>
            <w:vAlign w:val="center"/>
          </w:tcPr>
          <w:p w14:paraId="253C6823">
            <w:pPr>
              <w:keepNext w:val="0"/>
              <w:keepLines w:val="0"/>
              <w:pageBreakBefore w:val="0"/>
              <w:wordWrap/>
              <w:overflowPunct/>
              <w:topLinePunct w:val="0"/>
              <w:bidi w:val="0"/>
              <w:spacing w:line="360" w:lineRule="exact"/>
              <w:jc w:val="left"/>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满足询价文件要求且免费时长最长的为评审基准时长，时长得分=（时长/评审基准时长）×20</w:t>
            </w:r>
          </w:p>
        </w:tc>
      </w:tr>
      <w:tr w14:paraId="0E20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 w:type="dxa"/>
            <w:vAlign w:val="center"/>
          </w:tcPr>
          <w:p w14:paraId="737B336E">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w:t>
            </w:r>
          </w:p>
        </w:tc>
        <w:tc>
          <w:tcPr>
            <w:tcW w:w="1961" w:type="dxa"/>
            <w:vAlign w:val="center"/>
          </w:tcPr>
          <w:p w14:paraId="0029FBEC">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收费标准</w:t>
            </w:r>
          </w:p>
        </w:tc>
        <w:tc>
          <w:tcPr>
            <w:tcW w:w="1375" w:type="dxa"/>
            <w:vAlign w:val="center"/>
          </w:tcPr>
          <w:p w14:paraId="2B26540A">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25</w:t>
            </w:r>
          </w:p>
        </w:tc>
        <w:tc>
          <w:tcPr>
            <w:tcW w:w="3488" w:type="dxa"/>
            <w:vAlign w:val="center"/>
          </w:tcPr>
          <w:p w14:paraId="653A632F">
            <w:pPr>
              <w:keepNext w:val="0"/>
              <w:keepLines w:val="0"/>
              <w:pageBreakBefore w:val="0"/>
              <w:wordWrap/>
              <w:overflowPunct/>
              <w:topLinePunct w:val="0"/>
              <w:bidi w:val="0"/>
              <w:spacing w:line="360" w:lineRule="exact"/>
              <w:jc w:val="left"/>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满足询价文件要求且报价最低的为评审基准价，价格得分=（评审基准价/报价）×25</w:t>
            </w:r>
          </w:p>
        </w:tc>
      </w:tr>
      <w:tr w14:paraId="7B1C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 w:type="dxa"/>
            <w:vAlign w:val="center"/>
          </w:tcPr>
          <w:p w14:paraId="6510A002">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w:t>
            </w:r>
          </w:p>
        </w:tc>
        <w:tc>
          <w:tcPr>
            <w:tcW w:w="1961" w:type="dxa"/>
            <w:vAlign w:val="center"/>
          </w:tcPr>
          <w:p w14:paraId="59358649">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rPr>
            </w:pPr>
            <w:r>
              <w:rPr>
                <w:rFonts w:hint="eastAsia" w:ascii="仿宋" w:hAnsi="仿宋" w:eastAsia="仿宋" w:cs="仿宋"/>
                <w:sz w:val="28"/>
                <w:szCs w:val="28"/>
              </w:rPr>
              <w:t>每日收费封顶标准</w:t>
            </w:r>
          </w:p>
        </w:tc>
        <w:tc>
          <w:tcPr>
            <w:tcW w:w="1375" w:type="dxa"/>
            <w:vAlign w:val="center"/>
          </w:tcPr>
          <w:p w14:paraId="2841ADF2">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25</w:t>
            </w:r>
          </w:p>
        </w:tc>
        <w:tc>
          <w:tcPr>
            <w:tcW w:w="3488" w:type="dxa"/>
            <w:vAlign w:val="center"/>
          </w:tcPr>
          <w:p w14:paraId="4CC8A1C5">
            <w:pPr>
              <w:keepNext w:val="0"/>
              <w:keepLines w:val="0"/>
              <w:pageBreakBefore w:val="0"/>
              <w:wordWrap/>
              <w:overflowPunct/>
              <w:topLinePunct w:val="0"/>
              <w:bidi w:val="0"/>
              <w:spacing w:line="360" w:lineRule="exact"/>
              <w:jc w:val="left"/>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满足询价文件要求且报价最低的为评审基准价，价格得分=（评审基准价/报价）×25</w:t>
            </w:r>
          </w:p>
        </w:tc>
      </w:tr>
      <w:tr w14:paraId="7989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00" w:type="dxa"/>
            <w:vAlign w:val="center"/>
          </w:tcPr>
          <w:p w14:paraId="5D730246">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p>
        </w:tc>
        <w:tc>
          <w:tcPr>
            <w:tcW w:w="1961" w:type="dxa"/>
            <w:vAlign w:val="center"/>
          </w:tcPr>
          <w:p w14:paraId="4E254FD9">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计</w:t>
            </w:r>
          </w:p>
        </w:tc>
        <w:tc>
          <w:tcPr>
            <w:tcW w:w="1375" w:type="dxa"/>
            <w:vAlign w:val="center"/>
          </w:tcPr>
          <w:p w14:paraId="102A70AF">
            <w:pPr>
              <w:keepNext w:val="0"/>
              <w:keepLines w:val="0"/>
              <w:pageBreakBefore w:val="0"/>
              <w:wordWrap/>
              <w:overflowPunct/>
              <w:topLinePunct w:val="0"/>
              <w:bidi w:val="0"/>
              <w:spacing w:line="360" w:lineRule="exact"/>
              <w:jc w:val="center"/>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100</w:t>
            </w:r>
          </w:p>
        </w:tc>
        <w:tc>
          <w:tcPr>
            <w:tcW w:w="3488" w:type="dxa"/>
            <w:vAlign w:val="center"/>
          </w:tcPr>
          <w:p w14:paraId="74F52A2F">
            <w:pPr>
              <w:keepNext w:val="0"/>
              <w:keepLines w:val="0"/>
              <w:pageBreakBefore w:val="0"/>
              <w:wordWrap/>
              <w:overflowPunct/>
              <w:topLinePunct w:val="0"/>
              <w:bidi w:val="0"/>
              <w:spacing w:line="360" w:lineRule="exact"/>
              <w:jc w:val="left"/>
              <w:outlineLvl w:val="9"/>
              <w:rPr>
                <w:rFonts w:hint="eastAsia" w:ascii="仿宋" w:hAnsi="仿宋" w:eastAsia="仿宋" w:cs="仿宋"/>
                <w:sz w:val="28"/>
                <w:szCs w:val="28"/>
                <w:vertAlign w:val="baseline"/>
                <w:lang w:val="en-US" w:eastAsia="zh-CN"/>
              </w:rPr>
            </w:pPr>
          </w:p>
        </w:tc>
      </w:tr>
    </w:tbl>
    <w:p w14:paraId="7267859D">
      <w:pPr>
        <w:keepNext w:val="0"/>
        <w:keepLines w:val="0"/>
        <w:pageBreakBefore w:val="0"/>
        <w:wordWrap/>
        <w:overflowPunct/>
        <w:topLinePunct w:val="0"/>
        <w:bidi w:val="0"/>
        <w:spacing w:line="360" w:lineRule="exact"/>
        <w:ind w:firstLine="560" w:firstLineChars="200"/>
        <w:outlineLvl w:val="9"/>
        <w:rPr>
          <w:rFonts w:hint="eastAsia" w:ascii="仿宋" w:hAnsi="仿宋" w:eastAsia="仿宋" w:cs="仿宋"/>
          <w:sz w:val="28"/>
          <w:szCs w:val="28"/>
        </w:rPr>
      </w:pPr>
    </w:p>
    <w:p w14:paraId="3FFD4BF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rPr>
      </w:pPr>
    </w:p>
    <w:p w14:paraId="65813F08">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600" w:firstLineChars="200"/>
        <w:textAlignment w:val="auto"/>
        <w:rPr>
          <w:rFonts w:hint="eastAsia" w:ascii="黑体" w:hAnsi="黑体" w:eastAsia="黑体" w:cs="黑体"/>
          <w:b w:val="0"/>
          <w:bCs w:val="0"/>
          <w:color w:val="auto"/>
          <w:kern w:val="0"/>
          <w:sz w:val="30"/>
          <w:szCs w:val="30"/>
          <w:highlight w:val="none"/>
          <w:lang w:val="en-US" w:eastAsia="zh-CN" w:bidi="ar-SA"/>
        </w:rPr>
      </w:pPr>
      <w:bookmarkStart w:id="2" w:name="OLE_LINK4"/>
      <w:r>
        <w:rPr>
          <w:rFonts w:hint="eastAsia" w:ascii="仿宋" w:hAnsi="仿宋" w:eastAsia="仿宋" w:cs="仿宋"/>
          <w:sz w:val="30"/>
          <w:szCs w:val="30"/>
        </w:rPr>
        <w:t>★</w:t>
      </w:r>
      <w:bookmarkEnd w:id="2"/>
      <w:r>
        <w:rPr>
          <w:rFonts w:hint="eastAsia" w:ascii="黑体" w:hAnsi="黑体" w:eastAsia="黑体" w:cs="黑体"/>
          <w:b w:val="0"/>
          <w:bCs w:val="0"/>
          <w:color w:val="auto"/>
          <w:kern w:val="0"/>
          <w:sz w:val="30"/>
          <w:szCs w:val="30"/>
          <w:highlight w:val="none"/>
          <w:lang w:val="en-US" w:eastAsia="zh-CN" w:bidi="ar-SA"/>
        </w:rPr>
        <w:t>六、项目服务方案（包括但不限于以下内容）</w:t>
      </w:r>
    </w:p>
    <w:p w14:paraId="650FC21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w:t>
      </w:r>
      <w:r>
        <w:rPr>
          <w:rFonts w:hint="eastAsia" w:ascii="仿宋" w:hAnsi="仿宋" w:eastAsia="仿宋" w:cs="仿宋"/>
          <w:b w:val="0"/>
          <w:bCs w:val="0"/>
          <w:sz w:val="28"/>
          <w:szCs w:val="28"/>
        </w:rPr>
        <w:t>服务保障方案</w:t>
      </w:r>
      <w:r>
        <w:rPr>
          <w:rFonts w:hint="eastAsia" w:ascii="仿宋_GB2312" w:hAnsi="仿宋_GB2312" w:eastAsia="仿宋_GB2312" w:cs="仿宋_GB2312"/>
          <w:color w:val="auto"/>
          <w:sz w:val="28"/>
          <w:szCs w:val="28"/>
          <w:highlight w:val="none"/>
          <w:lang w:val="en-US" w:eastAsia="zh-CN"/>
        </w:rPr>
        <w:t>；</w:t>
      </w:r>
    </w:p>
    <w:p w14:paraId="45AD10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w:t>
      </w:r>
      <w:r>
        <w:rPr>
          <w:rFonts w:hint="eastAsia" w:ascii="仿宋" w:hAnsi="仿宋" w:eastAsia="仿宋" w:cs="仿宋"/>
          <w:b w:val="0"/>
          <w:bCs w:val="0"/>
          <w:sz w:val="28"/>
          <w:szCs w:val="28"/>
        </w:rPr>
        <w:t>应急预案</w:t>
      </w:r>
      <w:r>
        <w:rPr>
          <w:rFonts w:hint="eastAsia" w:ascii="仿宋" w:hAnsi="仿宋" w:eastAsia="仿宋" w:cs="仿宋"/>
          <w:b w:val="0"/>
          <w:bCs w:val="0"/>
          <w:sz w:val="28"/>
          <w:szCs w:val="28"/>
          <w:lang w:eastAsia="zh-CN"/>
        </w:rPr>
        <w:t>和纠纷投诉处理方案</w:t>
      </w:r>
      <w:r>
        <w:rPr>
          <w:rFonts w:hint="eastAsia" w:ascii="仿宋_GB2312" w:hAnsi="仿宋_GB2312" w:eastAsia="仿宋_GB2312" w:cs="仿宋_GB2312"/>
          <w:color w:val="auto"/>
          <w:sz w:val="28"/>
          <w:szCs w:val="28"/>
          <w:highlight w:val="none"/>
          <w:lang w:val="en-US" w:eastAsia="zh-CN"/>
        </w:rPr>
        <w:t>；</w:t>
      </w:r>
    </w:p>
    <w:p w14:paraId="73F5343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w:t>
      </w:r>
      <w:r>
        <w:rPr>
          <w:rFonts w:hint="eastAsia" w:ascii="仿宋" w:hAnsi="仿宋" w:eastAsia="仿宋" w:cs="仿宋"/>
          <w:b w:val="0"/>
          <w:bCs w:val="0"/>
          <w:sz w:val="28"/>
          <w:szCs w:val="28"/>
        </w:rPr>
        <w:t>质量安全保障方案</w:t>
      </w:r>
      <w:r>
        <w:rPr>
          <w:rFonts w:hint="eastAsia" w:ascii="仿宋_GB2312" w:hAnsi="仿宋_GB2312" w:eastAsia="仿宋_GB2312" w:cs="仿宋_GB2312"/>
          <w:color w:val="auto"/>
          <w:sz w:val="28"/>
          <w:szCs w:val="28"/>
          <w:highlight w:val="none"/>
          <w:lang w:val="en-US" w:eastAsia="zh-CN"/>
        </w:rPr>
        <w:t>；</w:t>
      </w:r>
    </w:p>
    <w:p w14:paraId="05A00A2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w:t>
      </w:r>
      <w:r>
        <w:rPr>
          <w:rFonts w:hint="eastAsia" w:ascii="仿宋" w:hAnsi="仿宋" w:eastAsia="仿宋" w:cs="仿宋"/>
          <w:b w:val="0"/>
          <w:bCs w:val="0"/>
          <w:sz w:val="28"/>
          <w:szCs w:val="28"/>
        </w:rPr>
        <w:t>消毒清洁服务方案</w:t>
      </w:r>
      <w:r>
        <w:rPr>
          <w:rFonts w:hint="eastAsia" w:ascii="仿宋_GB2312" w:hAnsi="仿宋_GB2312" w:eastAsia="仿宋_GB2312" w:cs="仿宋_GB2312"/>
          <w:color w:val="auto"/>
          <w:sz w:val="28"/>
          <w:szCs w:val="28"/>
          <w:highlight w:val="none"/>
          <w:lang w:val="en-US" w:eastAsia="zh-CN"/>
        </w:rPr>
        <w:t>；</w:t>
      </w:r>
    </w:p>
    <w:p w14:paraId="35DB713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方案内容存在</w:t>
      </w:r>
      <w:r>
        <w:rPr>
          <w:rFonts w:hint="eastAsia" w:ascii="仿宋" w:hAnsi="仿宋" w:eastAsia="仿宋" w:cs="仿宋"/>
          <w:b w:val="0"/>
          <w:bCs w:val="0"/>
          <w:sz w:val="28"/>
          <w:szCs w:val="28"/>
          <w:lang w:eastAsia="zh-CN"/>
        </w:rPr>
        <w:t>以下</w:t>
      </w:r>
      <w:r>
        <w:rPr>
          <w:rFonts w:hint="eastAsia" w:ascii="仿宋" w:hAnsi="仿宋" w:eastAsia="仿宋" w:cs="仿宋"/>
          <w:b w:val="0"/>
          <w:bCs w:val="0"/>
          <w:sz w:val="28"/>
          <w:szCs w:val="28"/>
        </w:rPr>
        <w:t>缺陷</w:t>
      </w:r>
      <w:r>
        <w:rPr>
          <w:rFonts w:hint="eastAsia" w:ascii="仿宋" w:hAnsi="仿宋" w:eastAsia="仿宋" w:cs="仿宋"/>
          <w:b w:val="0"/>
          <w:bCs w:val="0"/>
          <w:sz w:val="28"/>
          <w:szCs w:val="28"/>
          <w:lang w:eastAsia="zh-CN"/>
        </w:rPr>
        <w:t>之一的为无效方案。</w:t>
      </w:r>
      <w:r>
        <w:rPr>
          <w:rFonts w:hint="eastAsia" w:ascii="仿宋" w:hAnsi="仿宋" w:eastAsia="仿宋" w:cs="仿宋"/>
          <w:b w:val="0"/>
          <w:bCs w:val="0"/>
          <w:sz w:val="28"/>
          <w:szCs w:val="28"/>
        </w:rPr>
        <w:t>缺陷是指：①本项目提供的方案中引用法律法规、规范、标准或其他规范性文件存在失效或错误；②非专门针对本项目或内容与本项目需求无关；③照搬采购需求且未作出进一步描述；④内容不完整或过于简略。</w:t>
      </w:r>
    </w:p>
    <w:p w14:paraId="6C7D77DC">
      <w:pPr>
        <w:keepNext w:val="0"/>
        <w:keepLines w:val="0"/>
        <w:pageBreakBefore w:val="0"/>
        <w:widowControl w:val="0"/>
        <w:kinsoku/>
        <w:wordWrap/>
        <w:overflowPunct/>
        <w:topLinePunct w:val="0"/>
        <w:autoSpaceDE/>
        <w:autoSpaceDN/>
        <w:bidi w:val="0"/>
        <w:adjustRightInd/>
        <w:snapToGrid/>
        <w:spacing w:line="400" w:lineRule="exact"/>
        <w:ind w:firstLine="600" w:firstLineChars="200"/>
        <w:jc w:val="left"/>
        <w:textAlignment w:val="auto"/>
        <w:rPr>
          <w:rFonts w:hint="eastAsia" w:ascii="黑体" w:hAnsi="黑体" w:eastAsia="黑体" w:cs="黑体"/>
          <w:spacing w:val="6"/>
          <w:sz w:val="32"/>
          <w:szCs w:val="32"/>
        </w:rPr>
      </w:pPr>
      <w:r>
        <w:rPr>
          <w:rFonts w:hint="eastAsia" w:ascii="黑体" w:hAnsi="黑体" w:eastAsia="黑体" w:cs="黑体"/>
          <w:sz w:val="30"/>
          <w:szCs w:val="30"/>
          <w:lang w:val="en-US" w:eastAsia="zh-CN"/>
        </w:rPr>
        <w:t>七、</w:t>
      </w:r>
      <w:r>
        <w:rPr>
          <w:rFonts w:hint="eastAsia" w:ascii="黑体" w:hAnsi="黑体" w:eastAsia="黑体" w:cs="黑体"/>
          <w:spacing w:val="6"/>
          <w:sz w:val="30"/>
          <w:szCs w:val="30"/>
        </w:rPr>
        <w:t>评审办法</w:t>
      </w:r>
    </w:p>
    <w:p w14:paraId="16E5205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应商根据《报价分值表》报价项目和分值在《项目报价表》（见附件1）中一次性报出不可更改的价格（时长），采购人按供应商每项报价计算出相应得分之和后进行比较，总得分最高的供应商为中选供应商。总得分相同的，比较服务管理费，服务管理费高者为中选供应商；总得分和服务管理费均相同的，抽签决定中选供应商。</w:t>
      </w:r>
    </w:p>
    <w:p w14:paraId="68640DD4">
      <w:pPr>
        <w:pStyle w:val="2"/>
        <w:keepNext w:val="0"/>
        <w:keepLines w:val="0"/>
        <w:pageBreakBefore w:val="0"/>
        <w:widowControl w:val="0"/>
        <w:kinsoku/>
        <w:wordWrap/>
        <w:overflowPunct/>
        <w:topLinePunct w:val="0"/>
        <w:autoSpaceDE/>
        <w:autoSpaceDN/>
        <w:bidi w:val="0"/>
        <w:adjustRightInd/>
        <w:snapToGrid/>
        <w:spacing w:after="0" w:line="400" w:lineRule="exact"/>
        <w:ind w:firstLine="600" w:firstLineChars="200"/>
        <w:textAlignment w:val="auto"/>
        <w:rPr>
          <w:rFonts w:hint="eastAsia" w:ascii="黑体" w:hAnsi="黑体" w:eastAsia="黑体" w:cs="黑体"/>
          <w:sz w:val="30"/>
          <w:szCs w:val="30"/>
          <w:lang w:val="en-US" w:eastAsia="zh-CN"/>
        </w:rPr>
      </w:pPr>
      <w:r>
        <w:rPr>
          <w:rFonts w:hint="eastAsia" w:ascii="仿宋" w:hAnsi="仿宋" w:eastAsia="仿宋" w:cs="仿宋"/>
          <w:sz w:val="30"/>
          <w:szCs w:val="30"/>
        </w:rPr>
        <w:t>★</w:t>
      </w:r>
      <w:bookmarkStart w:id="3" w:name="OLE_LINK3"/>
      <w:r>
        <w:rPr>
          <w:rFonts w:hint="eastAsia" w:ascii="黑体" w:hAnsi="黑体" w:eastAsia="黑体" w:cs="黑体"/>
          <w:sz w:val="30"/>
          <w:szCs w:val="30"/>
          <w:lang w:val="en-US" w:eastAsia="zh-CN"/>
        </w:rPr>
        <w:t>八、供应商需提供以下资料</w:t>
      </w:r>
    </w:p>
    <w:bookmarkEnd w:id="3"/>
    <w:p w14:paraId="27BE2390">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ascii="楷体_GB2312" w:hAnsi="楷体_GB2312" w:eastAsia="楷体_GB2312" w:cs="楷体_GB2312"/>
          <w:b/>
          <w:bCs/>
          <w:sz w:val="28"/>
          <w:szCs w:val="28"/>
          <w:lang w:eastAsia="zh-CN"/>
        </w:rPr>
      </w:pPr>
      <w:r>
        <w:rPr>
          <w:rFonts w:hint="eastAsia" w:ascii="楷体_GB2312" w:hAnsi="楷体_GB2312" w:eastAsia="楷体_GB2312" w:cs="楷体_GB2312"/>
          <w:b/>
          <w:bCs/>
          <w:sz w:val="28"/>
          <w:szCs w:val="28"/>
          <w:lang w:eastAsia="zh-CN"/>
        </w:rPr>
        <w:t>（</w:t>
      </w:r>
      <w:r>
        <w:rPr>
          <w:rFonts w:hint="eastAsia" w:ascii="楷体_GB2312" w:hAnsi="楷体_GB2312" w:eastAsia="楷体_GB2312" w:cs="楷体_GB2312"/>
          <w:b/>
          <w:bCs/>
          <w:sz w:val="28"/>
          <w:szCs w:val="28"/>
          <w:lang w:val="en-US" w:eastAsia="zh-CN"/>
        </w:rPr>
        <w:t>一</w:t>
      </w:r>
      <w:r>
        <w:rPr>
          <w:rFonts w:hint="eastAsia" w:ascii="楷体_GB2312" w:hAnsi="楷体_GB2312" w:eastAsia="楷体_GB2312" w:cs="楷体_GB2312"/>
          <w:b/>
          <w:bCs/>
          <w:sz w:val="28"/>
          <w:szCs w:val="28"/>
          <w:lang w:eastAsia="zh-CN"/>
        </w:rPr>
        <w:t>）</w:t>
      </w:r>
      <w:r>
        <w:rPr>
          <w:rFonts w:hint="eastAsia" w:ascii="楷体_GB2312" w:hAnsi="楷体_GB2312" w:eastAsia="楷体_GB2312" w:cs="楷体_GB2312"/>
          <w:b/>
          <w:bCs/>
          <w:sz w:val="28"/>
          <w:szCs w:val="28"/>
        </w:rPr>
        <w:t>资料包1</w:t>
      </w:r>
      <w:r>
        <w:rPr>
          <w:rFonts w:hint="eastAsia" w:ascii="楷体_GB2312" w:hAnsi="楷体_GB2312" w:eastAsia="楷体_GB2312" w:cs="楷体_GB2312"/>
          <w:b/>
          <w:bCs/>
          <w:sz w:val="28"/>
          <w:szCs w:val="28"/>
          <w:lang w:eastAsia="zh-CN"/>
        </w:rPr>
        <w:t>：</w:t>
      </w:r>
    </w:p>
    <w:p w14:paraId="1D2C95C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营业执照</w:t>
      </w:r>
      <w:r>
        <w:rPr>
          <w:rFonts w:hint="eastAsia" w:ascii="仿宋_GB2312" w:hAnsi="仿宋_GB2312" w:eastAsia="仿宋_GB2312" w:cs="仿宋_GB2312"/>
          <w:sz w:val="28"/>
          <w:szCs w:val="28"/>
          <w:lang w:eastAsia="zh-CN"/>
        </w:rPr>
        <w:t>；</w:t>
      </w:r>
    </w:p>
    <w:p w14:paraId="6C29F1D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2.法定代表人</w:t>
      </w:r>
      <w:r>
        <w:rPr>
          <w:rFonts w:hint="eastAsia" w:ascii="仿宋_GB2312" w:hAnsi="仿宋_GB2312" w:eastAsia="仿宋_GB2312" w:cs="仿宋_GB2312"/>
          <w:sz w:val="28"/>
          <w:szCs w:val="28"/>
        </w:rPr>
        <w:t>授权</w:t>
      </w:r>
      <w:r>
        <w:rPr>
          <w:rFonts w:hint="eastAsia" w:ascii="仿宋_GB2312" w:hAnsi="仿宋_GB2312" w:eastAsia="仿宋_GB2312" w:cs="仿宋_GB2312"/>
          <w:sz w:val="28"/>
          <w:szCs w:val="28"/>
          <w:lang w:val="en-US" w:eastAsia="zh-CN"/>
        </w:rPr>
        <w:t>委托</w:t>
      </w:r>
      <w:r>
        <w:rPr>
          <w:rFonts w:hint="eastAsia" w:ascii="仿宋_GB2312" w:hAnsi="仿宋_GB2312" w:eastAsia="仿宋_GB2312" w:cs="仿宋_GB2312"/>
          <w:sz w:val="28"/>
          <w:szCs w:val="28"/>
        </w:rPr>
        <w:t>书</w:t>
      </w:r>
      <w:r>
        <w:rPr>
          <w:rFonts w:hint="eastAsia" w:ascii="仿宋_GB2312" w:hAnsi="仿宋_GB2312" w:eastAsia="仿宋_GB2312" w:cs="仿宋_GB2312"/>
          <w:sz w:val="28"/>
          <w:szCs w:val="28"/>
          <w:lang w:eastAsia="zh-CN"/>
        </w:rPr>
        <w:t>；</w:t>
      </w:r>
    </w:p>
    <w:p w14:paraId="3B2475D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3.法定代表人和被授权人</w:t>
      </w:r>
      <w:r>
        <w:rPr>
          <w:rFonts w:hint="eastAsia" w:ascii="仿宋_GB2312" w:hAnsi="仿宋_GB2312" w:eastAsia="仿宋_GB2312" w:cs="仿宋_GB2312"/>
          <w:sz w:val="28"/>
          <w:szCs w:val="28"/>
        </w:rPr>
        <w:t>身份证复印件</w:t>
      </w:r>
      <w:r>
        <w:rPr>
          <w:rFonts w:hint="eastAsia" w:ascii="仿宋_GB2312" w:hAnsi="仿宋_GB2312" w:eastAsia="仿宋_GB2312" w:cs="仿宋_GB2312"/>
          <w:sz w:val="28"/>
          <w:szCs w:val="28"/>
          <w:lang w:eastAsia="zh-CN"/>
        </w:rPr>
        <w:t>；</w:t>
      </w:r>
    </w:p>
    <w:p w14:paraId="570D273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4.被授权人社保信息（</w:t>
      </w:r>
      <w:r>
        <w:rPr>
          <w:rFonts w:hint="eastAsia" w:ascii="仿宋_GB2312" w:hAnsi="仿宋_GB2312" w:eastAsia="仿宋_GB2312" w:cs="仿宋_GB2312"/>
          <w:spacing w:val="6"/>
          <w:sz w:val="28"/>
          <w:szCs w:val="28"/>
          <w:lang w:val="en-US" w:eastAsia="zh-CN"/>
        </w:rPr>
        <w:t>须包含被授权人单位信息</w:t>
      </w:r>
      <w:r>
        <w:rPr>
          <w:rFonts w:hint="eastAsia" w:ascii="仿宋_GB2312" w:hAnsi="仿宋_GB2312" w:eastAsia="仿宋_GB2312" w:cs="仿宋_GB2312"/>
          <w:sz w:val="28"/>
          <w:szCs w:val="28"/>
          <w:lang w:val="en-US" w:eastAsia="zh-CN"/>
        </w:rPr>
        <w:t>）；</w:t>
      </w:r>
    </w:p>
    <w:p w14:paraId="1DFD36F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无重大违法记录承诺函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附件2</w:t>
      </w:r>
      <w:r>
        <w:rPr>
          <w:rFonts w:hint="eastAsia" w:ascii="仿宋_GB2312" w:hAnsi="仿宋_GB2312" w:eastAsia="仿宋_GB2312" w:cs="仿宋_GB2312"/>
          <w:sz w:val="28"/>
          <w:szCs w:val="28"/>
          <w:lang w:eastAsia="zh-CN"/>
        </w:rPr>
        <w:t>）；</w:t>
      </w:r>
    </w:p>
    <w:p w14:paraId="0E0256E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联系人、联系电话</w:t>
      </w:r>
      <w:r>
        <w:rPr>
          <w:rFonts w:hint="eastAsia" w:ascii="仿宋_GB2312" w:hAnsi="仿宋_GB2312" w:eastAsia="仿宋_GB2312" w:cs="仿宋_GB2312"/>
          <w:sz w:val="28"/>
          <w:szCs w:val="28"/>
          <w:lang w:eastAsia="zh-CN"/>
        </w:rPr>
        <w:t>。</w:t>
      </w:r>
    </w:p>
    <w:p w14:paraId="0AD71473">
      <w:pPr>
        <w:keepNext w:val="0"/>
        <w:keepLines w:val="0"/>
        <w:pageBreakBefore w:val="0"/>
        <w:widowControl w:val="0"/>
        <w:kinsoku/>
        <w:wordWrap/>
        <w:overflowPunct/>
        <w:topLinePunct w:val="0"/>
        <w:autoSpaceDE/>
        <w:autoSpaceDN/>
        <w:bidi w:val="0"/>
        <w:adjustRightInd/>
        <w:snapToGrid/>
        <w:spacing w:line="400" w:lineRule="exact"/>
        <w:ind w:firstLine="600" w:firstLineChars="200"/>
        <w:jc w:val="left"/>
        <w:textAlignment w:val="auto"/>
        <w:rPr>
          <w:rFonts w:hint="eastAsia" w:ascii="楷体_GB2312" w:hAnsi="楷体_GB2312" w:eastAsia="楷体_GB2312" w:cs="楷体_GB2312"/>
          <w:b/>
          <w:bCs/>
          <w:sz w:val="28"/>
          <w:szCs w:val="28"/>
        </w:rPr>
      </w:pPr>
      <w:r>
        <w:rPr>
          <w:rFonts w:hint="eastAsia" w:ascii="仿宋" w:hAnsi="仿宋" w:eastAsia="仿宋" w:cs="仿宋"/>
          <w:sz w:val="30"/>
          <w:szCs w:val="30"/>
        </w:rPr>
        <w:t>★</w:t>
      </w:r>
      <w:r>
        <w:rPr>
          <w:rFonts w:hint="eastAsia" w:ascii="楷体_GB2312" w:hAnsi="楷体_GB2312" w:eastAsia="楷体_GB2312" w:cs="楷体_GB2312"/>
          <w:b/>
          <w:bCs/>
          <w:sz w:val="28"/>
          <w:szCs w:val="28"/>
          <w:lang w:eastAsia="zh-CN"/>
        </w:rPr>
        <w:t>（</w:t>
      </w:r>
      <w:r>
        <w:rPr>
          <w:rFonts w:hint="eastAsia" w:ascii="楷体_GB2312" w:hAnsi="楷体_GB2312" w:eastAsia="楷体_GB2312" w:cs="楷体_GB2312"/>
          <w:b/>
          <w:bCs/>
          <w:sz w:val="28"/>
          <w:szCs w:val="28"/>
          <w:lang w:val="en-US" w:eastAsia="zh-CN"/>
        </w:rPr>
        <w:t>二</w:t>
      </w:r>
      <w:r>
        <w:rPr>
          <w:rFonts w:hint="eastAsia" w:ascii="楷体_GB2312" w:hAnsi="楷体_GB2312" w:eastAsia="楷体_GB2312" w:cs="楷体_GB2312"/>
          <w:b/>
          <w:bCs/>
          <w:sz w:val="28"/>
          <w:szCs w:val="28"/>
          <w:lang w:eastAsia="zh-CN"/>
        </w:rPr>
        <w:t>）</w:t>
      </w:r>
      <w:r>
        <w:rPr>
          <w:rFonts w:hint="eastAsia" w:ascii="楷体_GB2312" w:hAnsi="楷体_GB2312" w:eastAsia="楷体_GB2312" w:cs="楷体_GB2312"/>
          <w:b/>
          <w:bCs/>
          <w:sz w:val="28"/>
          <w:szCs w:val="28"/>
        </w:rPr>
        <w:t>资料包2：</w:t>
      </w:r>
    </w:p>
    <w:p w14:paraId="6687AA0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color w:val="auto"/>
          <w:spacing w:val="0"/>
          <w:position w:val="0"/>
          <w:sz w:val="28"/>
          <w:szCs w:val="28"/>
          <w:shd w:val="clear" w:fill="auto"/>
          <w:lang w:eastAsia="zh-CN"/>
        </w:rPr>
        <w:t>供应商须按照项目报价单模板</w:t>
      </w:r>
      <w:r>
        <w:rPr>
          <w:rFonts w:hint="eastAsia" w:ascii="仿宋_GB2312" w:hAnsi="仿宋_GB2312" w:eastAsia="仿宋_GB2312" w:cs="仿宋_GB2312"/>
          <w:color w:val="auto"/>
          <w:spacing w:val="0"/>
          <w:position w:val="0"/>
          <w:sz w:val="28"/>
          <w:szCs w:val="28"/>
          <w:shd w:val="clear" w:fill="auto"/>
          <w:lang w:val="en-US" w:eastAsia="zh-CN"/>
        </w:rPr>
        <w:t>（附件1）</w:t>
      </w:r>
      <w:r>
        <w:rPr>
          <w:rFonts w:hint="eastAsia" w:ascii="仿宋_GB2312" w:hAnsi="仿宋_GB2312" w:eastAsia="仿宋_GB2312" w:cs="仿宋_GB2312"/>
          <w:color w:val="auto"/>
          <w:spacing w:val="0"/>
          <w:position w:val="0"/>
          <w:sz w:val="28"/>
          <w:szCs w:val="28"/>
          <w:shd w:val="clear" w:fill="auto"/>
          <w:lang w:eastAsia="zh-CN"/>
        </w:rPr>
        <w:t>进行报价</w:t>
      </w:r>
      <w:r>
        <w:rPr>
          <w:rFonts w:hint="eastAsia" w:ascii="仿宋_GB2312" w:hAnsi="仿宋_GB2312" w:eastAsia="仿宋_GB2312" w:cs="仿宋_GB2312"/>
          <w:sz w:val="28"/>
          <w:szCs w:val="28"/>
          <w:lang w:eastAsia="zh-CN"/>
        </w:rPr>
        <w:t>；</w:t>
      </w:r>
    </w:p>
    <w:p w14:paraId="62856D4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2.供应商按照技术和服务要求应答表（附件3）和商务应答表（附件4）格式要求进行应答，并按照服务要求和商务要求中的具体规定提供相关证明材料；</w:t>
      </w:r>
    </w:p>
    <w:p w14:paraId="1306E7F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3.项目服务</w:t>
      </w:r>
      <w:r>
        <w:rPr>
          <w:rFonts w:hint="eastAsia" w:ascii="仿宋_GB2312" w:hAnsi="仿宋_GB2312" w:eastAsia="仿宋_GB2312" w:cs="仿宋_GB2312"/>
          <w:sz w:val="28"/>
          <w:szCs w:val="28"/>
        </w:rPr>
        <w:t>方案</w:t>
      </w:r>
      <w:r>
        <w:rPr>
          <w:rFonts w:hint="eastAsia" w:ascii="仿宋_GB2312" w:hAnsi="仿宋_GB2312" w:eastAsia="仿宋_GB2312" w:cs="仿宋_GB2312"/>
          <w:sz w:val="28"/>
          <w:szCs w:val="28"/>
          <w:lang w:eastAsia="zh-CN"/>
        </w:rPr>
        <w:t>具体内容。</w:t>
      </w:r>
    </w:p>
    <w:p w14:paraId="7AB18FF6">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以上资料</w:t>
      </w:r>
      <w:r>
        <w:rPr>
          <w:rFonts w:hint="eastAsia" w:ascii="仿宋_GB2312" w:hAnsi="仿宋_GB2312" w:eastAsia="仿宋_GB2312" w:cs="仿宋_GB2312"/>
          <w:b/>
          <w:bCs/>
          <w:sz w:val="28"/>
          <w:szCs w:val="28"/>
        </w:rPr>
        <w:t>均须加盖</w:t>
      </w:r>
      <w:r>
        <w:rPr>
          <w:rFonts w:hint="eastAsia" w:ascii="仿宋_GB2312" w:hAnsi="仿宋_GB2312" w:eastAsia="仿宋_GB2312" w:cs="仿宋_GB2312"/>
          <w:b/>
          <w:bCs/>
          <w:sz w:val="28"/>
          <w:szCs w:val="28"/>
          <w:lang w:eastAsia="zh-CN"/>
        </w:rPr>
        <w:t>供应商</w:t>
      </w:r>
      <w:r>
        <w:rPr>
          <w:rFonts w:hint="eastAsia" w:ascii="仿宋_GB2312" w:hAnsi="仿宋_GB2312" w:eastAsia="仿宋_GB2312" w:cs="仿宋_GB2312"/>
          <w:b/>
          <w:bCs/>
          <w:sz w:val="28"/>
          <w:szCs w:val="28"/>
        </w:rPr>
        <w:t>鲜章</w:t>
      </w:r>
      <w:r>
        <w:rPr>
          <w:rFonts w:hint="eastAsia" w:ascii="仿宋_GB2312" w:hAnsi="仿宋_GB2312" w:eastAsia="仿宋_GB2312" w:cs="仿宋_GB2312"/>
          <w:b/>
          <w:bCs/>
          <w:sz w:val="28"/>
          <w:szCs w:val="28"/>
          <w:lang w:eastAsia="zh-CN"/>
        </w:rPr>
        <w:t>并装订成一册，</w:t>
      </w:r>
      <w:r>
        <w:rPr>
          <w:rFonts w:hint="eastAsia" w:ascii="仿宋_GB2312" w:hAnsi="仿宋_GB2312" w:eastAsia="仿宋_GB2312" w:cs="仿宋_GB2312"/>
          <w:b/>
          <w:bCs/>
          <w:sz w:val="28"/>
          <w:szCs w:val="28"/>
          <w:lang w:val="en-US" w:eastAsia="zh-CN"/>
        </w:rPr>
        <w:t>于</w:t>
      </w:r>
      <w:bookmarkStart w:id="4" w:name="OLE_LINK5"/>
      <w:r>
        <w:rPr>
          <w:rFonts w:hint="eastAsia" w:ascii="仿宋_GB2312" w:hAnsi="仿宋_GB2312" w:eastAsia="仿宋_GB2312" w:cs="仿宋_GB2312"/>
          <w:b/>
          <w:bCs/>
          <w:sz w:val="28"/>
          <w:szCs w:val="28"/>
          <w:lang w:val="en-US" w:eastAsia="zh-CN"/>
        </w:rPr>
        <w:t>2026年 7 月 20日17:30</w:t>
      </w:r>
      <w:bookmarkEnd w:id="4"/>
      <w:r>
        <w:rPr>
          <w:rFonts w:hint="eastAsia" w:ascii="仿宋_GB2312" w:hAnsi="仿宋_GB2312" w:eastAsia="仿宋_GB2312" w:cs="仿宋_GB2312"/>
          <w:b/>
          <w:bCs/>
          <w:sz w:val="28"/>
          <w:szCs w:val="28"/>
          <w:lang w:val="en-US" w:eastAsia="zh-CN"/>
        </w:rPr>
        <w:t>前送达至四川省内江市市中区汉安大道西段1866号内江市第一人民医院新区全科楼三楼采购部 谭老师收（联系电话0832-2256120）。</w:t>
      </w:r>
      <w:r>
        <w:rPr>
          <w:rFonts w:hint="eastAsia" w:ascii="仿宋_GB2312" w:hAnsi="仿宋_GB2312" w:eastAsia="仿宋_GB2312" w:cs="仿宋_GB2312"/>
          <w:b/>
          <w:bCs/>
          <w:sz w:val="28"/>
          <w:szCs w:val="28"/>
        </w:rPr>
        <w:t>逾期送达的响应文件</w:t>
      </w:r>
      <w:r>
        <w:rPr>
          <w:rFonts w:hint="eastAsia" w:ascii="仿宋_GB2312" w:hAnsi="仿宋_GB2312" w:eastAsia="仿宋_GB2312" w:cs="仿宋_GB2312"/>
          <w:b/>
          <w:bCs/>
          <w:sz w:val="28"/>
          <w:szCs w:val="28"/>
          <w:lang w:val="en-US" w:eastAsia="zh-CN"/>
        </w:rPr>
        <w:t>则为无效响应文件</w:t>
      </w:r>
      <w:r>
        <w:rPr>
          <w:rFonts w:hint="eastAsia" w:ascii="仿宋_GB2312" w:hAnsi="仿宋_GB2312" w:eastAsia="仿宋_GB2312" w:cs="仿宋_GB2312"/>
          <w:b/>
          <w:bCs/>
          <w:sz w:val="28"/>
          <w:szCs w:val="28"/>
        </w:rPr>
        <w:t>。</w:t>
      </w:r>
    </w:p>
    <w:p w14:paraId="450A2EB9">
      <w:pPr>
        <w:keepNext w:val="0"/>
        <w:keepLines w:val="0"/>
        <w:pageBreakBefore w:val="0"/>
        <w:kinsoku/>
        <w:wordWrap/>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sz w:val="32"/>
          <w:szCs w:val="32"/>
        </w:rPr>
      </w:pPr>
    </w:p>
    <w:p w14:paraId="3B380C11">
      <w:pPr>
        <w:pStyle w:val="2"/>
        <w:keepNext w:val="0"/>
        <w:keepLines w:val="0"/>
        <w:pageBreakBefore w:val="0"/>
        <w:kinsoku/>
        <w:wordWrap/>
        <w:overflowPunct/>
        <w:topLinePunct w:val="0"/>
        <w:autoSpaceDE/>
        <w:autoSpaceDN/>
        <w:bidi w:val="0"/>
        <w:adjustRightInd/>
        <w:spacing w:after="0" w:line="560" w:lineRule="exact"/>
        <w:ind w:firstLine="4480" w:firstLineChars="1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14:paraId="17AFB57E">
      <w:pPr>
        <w:keepNext w:val="0"/>
        <w:keepLines w:val="0"/>
        <w:pageBreakBefore w:val="0"/>
        <w:kinsoku/>
        <w:wordWrap/>
        <w:overflowPunct/>
        <w:topLinePunct w:val="0"/>
        <w:autoSpaceDE/>
        <w:autoSpaceDN/>
        <w:bidi w:val="0"/>
        <w:adjustRightInd/>
        <w:spacing w:line="560" w:lineRule="exact"/>
        <w:ind w:firstLine="4800" w:firstLineChars="1500"/>
        <w:rPr>
          <w:rFonts w:hint="eastAsia" w:ascii="仿宋_GB2312" w:hAnsi="仿宋_GB2312" w:eastAsia="仿宋_GB2312" w:cs="仿宋_GB2312"/>
          <w:sz w:val="32"/>
          <w:szCs w:val="32"/>
          <w:lang w:val="en-US" w:eastAsia="zh-CN"/>
        </w:rPr>
      </w:pPr>
      <w:bookmarkStart w:id="5" w:name="_GoBack"/>
      <w:bookmarkEnd w:id="5"/>
      <w:r>
        <w:rPr>
          <w:rFonts w:hint="eastAsia" w:ascii="仿宋_GB2312" w:hAnsi="仿宋_GB2312" w:eastAsia="仿宋_GB2312" w:cs="仿宋_GB2312"/>
          <w:sz w:val="32"/>
          <w:szCs w:val="32"/>
          <w:lang w:val="en-US" w:eastAsia="zh-CN"/>
        </w:rPr>
        <w:t>2026年 7 月  13  日</w:t>
      </w:r>
    </w:p>
    <w:p w14:paraId="1998B5F4">
      <w:pPr>
        <w:keepNext w:val="0"/>
        <w:keepLines w:val="0"/>
        <w:pageBreakBefore w:val="0"/>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p w14:paraId="5DD09CB8">
      <w:pPr>
        <w:pStyle w:val="2"/>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附件1</w:t>
      </w:r>
    </w:p>
    <w:p w14:paraId="416DE090">
      <w:pPr>
        <w:pStyle w:val="2"/>
        <w:jc w:val="center"/>
        <w:outlineLvl w:val="1"/>
        <w:rPr>
          <w:rFonts w:hint="eastAsia" w:ascii="仿宋" w:hAnsi="仿宋" w:eastAsia="仿宋" w:cs="仿宋"/>
          <w:b/>
          <w:color w:val="000000"/>
          <w:kern w:val="0"/>
          <w:sz w:val="32"/>
          <w:szCs w:val="32"/>
        </w:rPr>
      </w:pPr>
      <w:r>
        <w:rPr>
          <w:rFonts w:hint="eastAsia" w:ascii="方正小标宋简体" w:hAnsi="方正小标宋简体" w:eastAsia="方正小标宋简体" w:cs="方正小标宋简体"/>
          <w:b w:val="0"/>
          <w:bCs/>
          <w:color w:val="000000"/>
          <w:kern w:val="0"/>
          <w:sz w:val="44"/>
          <w:szCs w:val="44"/>
          <w:lang w:val="en-US" w:eastAsia="zh-CN"/>
        </w:rPr>
        <w:t>项目</w:t>
      </w:r>
      <w:r>
        <w:rPr>
          <w:rFonts w:hint="eastAsia" w:ascii="方正小标宋简体" w:hAnsi="方正小标宋简体" w:eastAsia="方正小标宋简体" w:cs="方正小标宋简体"/>
          <w:b w:val="0"/>
          <w:bCs/>
          <w:color w:val="000000"/>
          <w:kern w:val="0"/>
          <w:sz w:val="44"/>
          <w:szCs w:val="44"/>
        </w:rPr>
        <w:t>报价单</w:t>
      </w:r>
    </w:p>
    <w:p w14:paraId="764DD5E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我单位作为供应商,对此次评审活动中我方所承诺的条款已经完全明确,也深知所承诺的事项和作出的报价可能给我方带来的风险和后果。如果我方在评审活动中有弄虚作假等违法违规行为，以及中选后因报价低（高）或不执行承诺条款而不履约,本单位愿承担一切责任（包括赔偿损失、取消评审及中选资格等），我单位报价为：</w:t>
      </w:r>
    </w:p>
    <w:tbl>
      <w:tblPr>
        <w:tblStyle w:val="9"/>
        <w:tblW w:w="8352"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137"/>
        <w:gridCol w:w="1775"/>
        <w:gridCol w:w="2125"/>
        <w:gridCol w:w="1590"/>
      </w:tblGrid>
      <w:tr w14:paraId="7878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25" w:type="dxa"/>
            <w:vAlign w:val="center"/>
          </w:tcPr>
          <w:p w14:paraId="42B481DB">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序号</w:t>
            </w:r>
          </w:p>
        </w:tc>
        <w:tc>
          <w:tcPr>
            <w:tcW w:w="2137" w:type="dxa"/>
            <w:vAlign w:val="center"/>
          </w:tcPr>
          <w:p w14:paraId="30BD14CE">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报价项目</w:t>
            </w:r>
          </w:p>
        </w:tc>
        <w:tc>
          <w:tcPr>
            <w:tcW w:w="1775" w:type="dxa"/>
            <w:vAlign w:val="center"/>
          </w:tcPr>
          <w:p w14:paraId="7CA22B5A">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报价</w:t>
            </w:r>
          </w:p>
        </w:tc>
        <w:tc>
          <w:tcPr>
            <w:tcW w:w="2125" w:type="dxa"/>
            <w:vAlign w:val="center"/>
          </w:tcPr>
          <w:p w14:paraId="313D7DD3">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单位</w:t>
            </w:r>
          </w:p>
        </w:tc>
        <w:tc>
          <w:tcPr>
            <w:tcW w:w="1590" w:type="dxa"/>
            <w:vAlign w:val="center"/>
          </w:tcPr>
          <w:p w14:paraId="0F4A7162">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备注</w:t>
            </w:r>
          </w:p>
        </w:tc>
      </w:tr>
      <w:tr w14:paraId="1D0F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5" w:type="dxa"/>
            <w:vAlign w:val="center"/>
          </w:tcPr>
          <w:p w14:paraId="4A86FB13">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c>
          <w:tcPr>
            <w:tcW w:w="2137" w:type="dxa"/>
            <w:vAlign w:val="center"/>
          </w:tcPr>
          <w:p w14:paraId="1870C93F">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服务管理费</w:t>
            </w:r>
          </w:p>
        </w:tc>
        <w:tc>
          <w:tcPr>
            <w:tcW w:w="1775" w:type="dxa"/>
            <w:vAlign w:val="center"/>
          </w:tcPr>
          <w:p w14:paraId="74DD8157">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c>
          <w:tcPr>
            <w:tcW w:w="2125" w:type="dxa"/>
            <w:vAlign w:val="center"/>
          </w:tcPr>
          <w:p w14:paraId="4CD1E04B">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元/台/月</w:t>
            </w:r>
          </w:p>
        </w:tc>
        <w:tc>
          <w:tcPr>
            <w:tcW w:w="1590" w:type="dxa"/>
            <w:vAlign w:val="center"/>
          </w:tcPr>
          <w:p w14:paraId="3A05BF11">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r>
      <w:tr w14:paraId="21C9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5" w:type="dxa"/>
            <w:vAlign w:val="center"/>
          </w:tcPr>
          <w:p w14:paraId="700D6B29">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c>
          <w:tcPr>
            <w:tcW w:w="2137" w:type="dxa"/>
            <w:vAlign w:val="center"/>
          </w:tcPr>
          <w:p w14:paraId="70D44282">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押金标准</w:t>
            </w:r>
          </w:p>
        </w:tc>
        <w:tc>
          <w:tcPr>
            <w:tcW w:w="1775" w:type="dxa"/>
            <w:vAlign w:val="center"/>
          </w:tcPr>
          <w:p w14:paraId="1174D405">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c>
          <w:tcPr>
            <w:tcW w:w="2125" w:type="dxa"/>
            <w:vAlign w:val="center"/>
          </w:tcPr>
          <w:p w14:paraId="7F837295">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元/台</w:t>
            </w:r>
          </w:p>
        </w:tc>
        <w:tc>
          <w:tcPr>
            <w:tcW w:w="1590" w:type="dxa"/>
            <w:vAlign w:val="center"/>
          </w:tcPr>
          <w:p w14:paraId="49D401C5">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r>
      <w:tr w14:paraId="3A57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5" w:type="dxa"/>
            <w:vAlign w:val="center"/>
          </w:tcPr>
          <w:p w14:paraId="60D2E7F6">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c>
          <w:tcPr>
            <w:tcW w:w="2137" w:type="dxa"/>
            <w:vAlign w:val="center"/>
          </w:tcPr>
          <w:p w14:paraId="695BE4A2">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免费时长</w:t>
            </w:r>
          </w:p>
        </w:tc>
        <w:tc>
          <w:tcPr>
            <w:tcW w:w="1775" w:type="dxa"/>
            <w:vAlign w:val="center"/>
          </w:tcPr>
          <w:p w14:paraId="5C3ECE4C">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c>
          <w:tcPr>
            <w:tcW w:w="2125" w:type="dxa"/>
            <w:vAlign w:val="center"/>
          </w:tcPr>
          <w:p w14:paraId="078109E5">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分钟</w:t>
            </w:r>
          </w:p>
        </w:tc>
        <w:tc>
          <w:tcPr>
            <w:tcW w:w="1590" w:type="dxa"/>
            <w:vAlign w:val="center"/>
          </w:tcPr>
          <w:p w14:paraId="7261F481">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r>
      <w:tr w14:paraId="5024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5" w:type="dxa"/>
            <w:vAlign w:val="center"/>
          </w:tcPr>
          <w:p w14:paraId="3E703131">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w:t>
            </w:r>
          </w:p>
        </w:tc>
        <w:tc>
          <w:tcPr>
            <w:tcW w:w="2137" w:type="dxa"/>
            <w:vAlign w:val="center"/>
          </w:tcPr>
          <w:p w14:paraId="2A27F162">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收费标准</w:t>
            </w:r>
          </w:p>
        </w:tc>
        <w:tc>
          <w:tcPr>
            <w:tcW w:w="1775" w:type="dxa"/>
            <w:vAlign w:val="center"/>
          </w:tcPr>
          <w:p w14:paraId="510353B7">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c>
          <w:tcPr>
            <w:tcW w:w="2125" w:type="dxa"/>
            <w:vAlign w:val="center"/>
          </w:tcPr>
          <w:p w14:paraId="1CB01F89">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元/小时</w:t>
            </w:r>
          </w:p>
        </w:tc>
        <w:tc>
          <w:tcPr>
            <w:tcW w:w="1590" w:type="dxa"/>
            <w:vAlign w:val="center"/>
          </w:tcPr>
          <w:p w14:paraId="5D20E0A5">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r>
      <w:tr w14:paraId="17B1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5" w:type="dxa"/>
            <w:vAlign w:val="center"/>
          </w:tcPr>
          <w:p w14:paraId="7E9C2BC9">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2137" w:type="dxa"/>
            <w:vAlign w:val="center"/>
          </w:tcPr>
          <w:p w14:paraId="166F69C9">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每日收费封顶标准</w:t>
            </w:r>
          </w:p>
        </w:tc>
        <w:tc>
          <w:tcPr>
            <w:tcW w:w="1775" w:type="dxa"/>
            <w:vAlign w:val="center"/>
          </w:tcPr>
          <w:p w14:paraId="1320E761">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c>
          <w:tcPr>
            <w:tcW w:w="2125" w:type="dxa"/>
            <w:vAlign w:val="center"/>
          </w:tcPr>
          <w:p w14:paraId="7377A7C2">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元/日</w:t>
            </w:r>
          </w:p>
        </w:tc>
        <w:tc>
          <w:tcPr>
            <w:tcW w:w="1590" w:type="dxa"/>
            <w:vAlign w:val="center"/>
          </w:tcPr>
          <w:p w14:paraId="36515093">
            <w:pPr>
              <w:keepNext w:val="0"/>
              <w:keepLines w:val="0"/>
              <w:pageBreakBefore w:val="0"/>
              <w:suppressLineNumbers w:val="0"/>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仿宋_GB2312" w:hAnsi="仿宋_GB2312" w:eastAsia="仿宋_GB2312" w:cs="仿宋_GB2312"/>
                <w:kern w:val="2"/>
                <w:sz w:val="24"/>
                <w:szCs w:val="24"/>
                <w:lang w:val="en-US" w:eastAsia="zh-CN" w:bidi="ar-SA"/>
              </w:rPr>
            </w:pPr>
          </w:p>
        </w:tc>
      </w:tr>
    </w:tbl>
    <w:p w14:paraId="3B9FC773">
      <w:pPr>
        <w:pStyle w:val="8"/>
        <w:widowControl w:val="0"/>
        <w:autoSpaceDE w:val="0"/>
        <w:autoSpaceDN w:val="0"/>
        <w:spacing w:before="0" w:beforeAutospacing="0" w:after="0" w:afterAutospacing="0" w:line="360" w:lineRule="auto"/>
        <w:ind w:firstLine="482" w:firstLineChars="200"/>
        <w:rPr>
          <w:rFonts w:hint="eastAsia" w:ascii="仿宋" w:hAnsi="仿宋" w:eastAsia="仿宋" w:cs="仿宋"/>
          <w:b/>
          <w:sz w:val="24"/>
          <w:szCs w:val="24"/>
          <w:lang w:bidi="ar"/>
        </w:rPr>
      </w:pPr>
    </w:p>
    <w:p w14:paraId="154A238E">
      <w:pPr>
        <w:pStyle w:val="8"/>
        <w:widowControl w:val="0"/>
        <w:autoSpaceDE w:val="0"/>
        <w:autoSpaceDN w:val="0"/>
        <w:spacing w:before="0" w:beforeAutospacing="0" w:after="0" w:afterAutospacing="0" w:line="360" w:lineRule="auto"/>
        <w:ind w:firstLine="482" w:firstLineChars="200"/>
        <w:rPr>
          <w:rFonts w:ascii="仿宋" w:hAnsi="仿宋" w:eastAsia="仿宋" w:cs="仿宋"/>
          <w:bCs/>
          <w:sz w:val="24"/>
          <w:szCs w:val="24"/>
          <w:lang w:bidi="ar"/>
        </w:rPr>
      </w:pPr>
      <w:r>
        <w:rPr>
          <w:rFonts w:hint="eastAsia" w:ascii="仿宋" w:hAnsi="仿宋" w:eastAsia="仿宋" w:cs="仿宋"/>
          <w:b/>
          <w:sz w:val="24"/>
          <w:szCs w:val="24"/>
          <w:lang w:bidi="ar"/>
        </w:rPr>
        <w:t>注：</w:t>
      </w:r>
      <w:r>
        <w:rPr>
          <w:rFonts w:hint="eastAsia" w:ascii="仿宋" w:hAnsi="仿宋" w:eastAsia="仿宋" w:cs="仿宋"/>
          <w:bCs/>
          <w:sz w:val="24"/>
          <w:szCs w:val="24"/>
          <w:lang w:eastAsia="zh-CN" w:bidi="ar"/>
        </w:rPr>
        <w:t>供应商</w:t>
      </w:r>
      <w:r>
        <w:rPr>
          <w:rFonts w:hint="eastAsia" w:ascii="仿宋" w:hAnsi="仿宋" w:eastAsia="仿宋" w:cs="仿宋"/>
          <w:bCs/>
          <w:sz w:val="24"/>
          <w:szCs w:val="24"/>
          <w:lang w:bidi="ar"/>
        </w:rPr>
        <w:t>须</w:t>
      </w:r>
      <w:r>
        <w:rPr>
          <w:rFonts w:hint="eastAsia" w:ascii="仿宋" w:hAnsi="仿宋" w:eastAsia="仿宋" w:cs="仿宋"/>
          <w:bCs/>
          <w:sz w:val="24"/>
          <w:szCs w:val="24"/>
          <w:lang w:eastAsia="zh-CN" w:bidi="ar"/>
        </w:rPr>
        <w:t>按照询价文件“四、</w:t>
      </w:r>
      <w:r>
        <w:rPr>
          <w:rFonts w:hint="eastAsia" w:ascii="仿宋" w:hAnsi="仿宋" w:eastAsia="仿宋" w:cs="仿宋"/>
          <w:bCs/>
          <w:sz w:val="24"/>
          <w:szCs w:val="24"/>
          <w:lang w:bidi="ar"/>
        </w:rPr>
        <w:t>商务要求</w:t>
      </w:r>
      <w:r>
        <w:rPr>
          <w:rFonts w:hint="eastAsia" w:ascii="仿宋" w:hAnsi="仿宋" w:eastAsia="仿宋" w:cs="仿宋"/>
          <w:bCs/>
          <w:sz w:val="24"/>
          <w:szCs w:val="24"/>
          <w:lang w:eastAsia="zh-CN" w:bidi="ar"/>
        </w:rPr>
        <w:t>”中的收费标准要求和“</w:t>
      </w:r>
      <w:r>
        <w:rPr>
          <w:rFonts w:hint="eastAsia" w:ascii="仿宋" w:hAnsi="仿宋" w:eastAsia="仿宋" w:cs="仿宋"/>
          <w:b w:val="0"/>
          <w:bCs w:val="0"/>
          <w:sz w:val="24"/>
          <w:szCs w:val="24"/>
        </w:rPr>
        <w:t>五</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报价要求</w:t>
      </w:r>
      <w:r>
        <w:rPr>
          <w:rFonts w:hint="eastAsia" w:ascii="仿宋" w:hAnsi="仿宋" w:eastAsia="仿宋" w:cs="仿宋"/>
          <w:bCs/>
          <w:sz w:val="24"/>
          <w:szCs w:val="24"/>
          <w:lang w:eastAsia="zh-CN" w:bidi="ar"/>
        </w:rPr>
        <w:t>”</w:t>
      </w:r>
      <w:r>
        <w:rPr>
          <w:rFonts w:hint="eastAsia" w:ascii="仿宋" w:hAnsi="仿宋" w:eastAsia="仿宋" w:cs="仿宋"/>
          <w:sz w:val="24"/>
          <w:szCs w:val="24"/>
          <w:lang w:val="en-US" w:eastAsia="zh-CN"/>
        </w:rPr>
        <w:t>一次性报出不可更改的价格（时长），报价不符合询价文件要求的为无效报价</w:t>
      </w:r>
      <w:r>
        <w:rPr>
          <w:rFonts w:hint="eastAsia" w:ascii="仿宋" w:hAnsi="仿宋" w:eastAsia="仿宋" w:cs="仿宋"/>
          <w:bCs/>
          <w:sz w:val="24"/>
          <w:szCs w:val="24"/>
          <w:lang w:bidi="ar"/>
        </w:rPr>
        <w:t>。</w:t>
      </w:r>
    </w:p>
    <w:p w14:paraId="6542AFD2">
      <w:pPr>
        <w:keepNext w:val="0"/>
        <w:keepLines w:val="0"/>
        <w:pageBreakBefore w:val="0"/>
        <w:widowControl/>
        <w:kinsoku/>
        <w:overflowPunct/>
        <w:topLinePunct w:val="0"/>
        <w:autoSpaceDE/>
        <w:autoSpaceDN/>
        <w:bidi w:val="0"/>
        <w:adjustRightInd/>
        <w:snapToGrid/>
        <w:spacing w:line="480" w:lineRule="exact"/>
        <w:jc w:val="right"/>
        <w:textAlignment w:val="auto"/>
        <w:rPr>
          <w:rFonts w:hint="eastAsia" w:ascii="仿宋_GB2312" w:hAnsi="仿宋_GB2312" w:eastAsia="仿宋_GB2312" w:cs="仿宋_GB2312"/>
          <w:kern w:val="2"/>
          <w:sz w:val="24"/>
          <w:szCs w:val="24"/>
          <w:lang w:val="en-US" w:eastAsia="zh-CN" w:bidi="ar-SA"/>
        </w:rPr>
      </w:pPr>
    </w:p>
    <w:p w14:paraId="3B225EC1">
      <w:pPr>
        <w:widowControl/>
        <w:spacing w:line="360" w:lineRule="auto"/>
        <w:ind w:firstLine="480" w:firstLineChars="20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（单位公章）</w:t>
      </w:r>
    </w:p>
    <w:p w14:paraId="68AB5FC7">
      <w:pPr>
        <w:widowControl/>
        <w:spacing w:line="360" w:lineRule="auto"/>
        <w:ind w:firstLine="480" w:firstLineChars="200"/>
        <w:jc w:val="left"/>
        <w:outlineLvl w:val="1"/>
        <w:rPr>
          <w:rFonts w:hint="eastAsia" w:ascii="仿宋_GB2312" w:hAnsi="仿宋_GB2312" w:eastAsia="仿宋_GB2312" w:cs="仿宋_GB2312"/>
          <w:sz w:val="24"/>
        </w:rPr>
      </w:pPr>
    </w:p>
    <w:p w14:paraId="613E2249">
      <w:pPr>
        <w:widowControl/>
        <w:spacing w:line="360" w:lineRule="auto"/>
        <w:ind w:firstLine="480" w:firstLineChars="20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法定代表人或授权代表（签字或盖章）：</w:t>
      </w:r>
    </w:p>
    <w:p w14:paraId="1A6A667D">
      <w:pPr>
        <w:widowControl/>
        <w:spacing w:line="360" w:lineRule="auto"/>
        <w:ind w:firstLine="480" w:firstLineChars="200"/>
        <w:jc w:val="left"/>
        <w:outlineLvl w:val="1"/>
        <w:rPr>
          <w:rFonts w:hint="eastAsia" w:ascii="仿宋_GB2312" w:hAnsi="仿宋_GB2312" w:eastAsia="仿宋_GB2312" w:cs="仿宋_GB2312"/>
          <w:sz w:val="24"/>
        </w:rPr>
      </w:pPr>
    </w:p>
    <w:p w14:paraId="034650E7">
      <w:pPr>
        <w:widowControl/>
        <w:spacing w:line="360" w:lineRule="auto"/>
        <w:ind w:firstLine="480" w:firstLineChars="20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24"/>
        </w:rPr>
        <w:t>日  期：202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日</w:t>
      </w:r>
    </w:p>
    <w:p w14:paraId="7072AA7D">
      <w:pPr>
        <w:pStyle w:val="2"/>
        <w:rPr>
          <w:rFonts w:hint="eastAsia" w:ascii="黑体" w:hAnsi="黑体" w:eastAsia="黑体" w:cs="黑体"/>
          <w:sz w:val="28"/>
          <w:szCs w:val="28"/>
          <w:lang w:val="en-US" w:eastAsia="zh-CN"/>
        </w:rPr>
      </w:pPr>
    </w:p>
    <w:p w14:paraId="1C1134C4">
      <w:pPr>
        <w:pStyle w:val="2"/>
        <w:rPr>
          <w:rFonts w:hint="eastAsia" w:ascii="黑体" w:hAnsi="黑体" w:eastAsia="黑体" w:cs="黑体"/>
          <w:sz w:val="28"/>
          <w:szCs w:val="28"/>
          <w:lang w:val="en-US" w:eastAsia="zh-CN"/>
        </w:rPr>
      </w:pPr>
    </w:p>
    <w:p w14:paraId="3E892F72">
      <w:pPr>
        <w:pStyle w:val="2"/>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14:paraId="5A2C5CD2">
      <w:pPr>
        <w:pStyle w:val="2"/>
        <w:jc w:val="center"/>
        <w:outlineLvl w:val="1"/>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kern w:val="0"/>
          <w:sz w:val="44"/>
          <w:szCs w:val="44"/>
        </w:rPr>
        <w:t>承诺函</w:t>
      </w:r>
    </w:p>
    <w:p w14:paraId="14016341">
      <w:pPr>
        <w:widowControl/>
        <w:spacing w:line="360" w:lineRule="auto"/>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内江市第一人民医院：</w:t>
      </w:r>
    </w:p>
    <w:p w14:paraId="78BDDC32">
      <w:pPr>
        <w:widowControl/>
        <w:spacing w:line="360" w:lineRule="auto"/>
        <w:ind w:firstLine="480" w:firstLineChars="20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我单位作为本次采购项目的供应商，根据采购文件要求，现郑重承诺如下：</w:t>
      </w:r>
    </w:p>
    <w:p w14:paraId="3198350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一、</w:t>
      </w:r>
      <w:r>
        <w:rPr>
          <w:rFonts w:hint="eastAsia" w:ascii="仿宋_GB2312" w:hAnsi="仿宋_GB2312" w:eastAsia="仿宋_GB2312" w:cs="仿宋_GB2312"/>
          <w:sz w:val="24"/>
        </w:rPr>
        <w:t>具备参加本项目规定的以下条件：</w:t>
      </w:r>
    </w:p>
    <w:p w14:paraId="01887D3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（一）在中华人民共和国境内注册，具有独立法人资格；</w:t>
      </w:r>
    </w:p>
    <w:p w14:paraId="16E2CA2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（二）具有良好的商业信誉和健全的财务会计制度；</w:t>
      </w:r>
    </w:p>
    <w:p w14:paraId="39E88C5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（三）具备履行合同所必需的设备和专业技术能力；</w:t>
      </w:r>
    </w:p>
    <w:p w14:paraId="55FB5A8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（四）参加采购活动前三年内，在经营活动中没有重大违法记录；</w:t>
      </w:r>
    </w:p>
    <w:p w14:paraId="49DAE53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eastAsia" w:ascii="仿宋_GB2312" w:hAnsi="仿宋_GB2312" w:eastAsia="仿宋_GB2312" w:cs="仿宋_GB2312"/>
          <w:sz w:val="24"/>
        </w:rPr>
      </w:pPr>
      <w:r>
        <w:rPr>
          <w:rFonts w:hint="eastAsia" w:ascii="仿宋_GB2312" w:hAnsi="仿宋_GB2312" w:eastAsia="仿宋_GB2312" w:cs="仿宋_GB2312"/>
          <w:sz w:val="24"/>
        </w:rPr>
        <w:t>二、参加本次采购活动，不存在与单位负责人为同一人或者存在直接控股、管理关系的其他供应商参与同一合同项下的采购活动的行为。</w:t>
      </w:r>
    </w:p>
    <w:p w14:paraId="50CD360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eastAsia" w:ascii="仿宋_GB2312" w:hAnsi="仿宋_GB2312" w:eastAsia="仿宋_GB2312" w:cs="仿宋_GB2312"/>
          <w:sz w:val="24"/>
        </w:rPr>
      </w:pPr>
      <w:r>
        <w:rPr>
          <w:rFonts w:hint="eastAsia" w:ascii="仿宋_GB2312" w:hAnsi="仿宋_GB2312" w:eastAsia="仿宋_GB2312" w:cs="仿宋_GB2312"/>
          <w:sz w:val="24"/>
        </w:rPr>
        <w:t>三、参加本次采购活动，不存在和其他供应商在同一合同项下的采购项目中，同时委托同一个自然人、同一家庭的人员、同一单位的人员作为代理人的行为。</w:t>
      </w:r>
    </w:p>
    <w:p w14:paraId="602964F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eastAsia" w:ascii="仿宋_GB2312" w:hAnsi="仿宋_GB2312" w:eastAsia="仿宋_GB2312" w:cs="仿宋_GB2312"/>
          <w:color w:val="00B0F0"/>
          <w:sz w:val="24"/>
        </w:rPr>
      </w:pPr>
      <w:r>
        <w:rPr>
          <w:rFonts w:hint="eastAsia" w:ascii="仿宋_GB2312" w:hAnsi="仿宋_GB2312" w:eastAsia="仿宋_GB2312" w:cs="仿宋_GB2312"/>
          <w:sz w:val="24"/>
        </w:rPr>
        <w:t>四、</w:t>
      </w:r>
      <w:r>
        <w:rPr>
          <w:rFonts w:hint="eastAsia" w:ascii="仿宋_GB2312" w:hAnsi="仿宋_GB2312" w:eastAsia="仿宋_GB2312" w:cs="仿宋_GB2312"/>
          <w:color w:val="000000"/>
          <w:sz w:val="24"/>
        </w:rPr>
        <w:t>响应文件中提供的能够给予</w:t>
      </w:r>
      <w:r>
        <w:rPr>
          <w:rFonts w:hint="eastAsia" w:ascii="仿宋_GB2312" w:hAnsi="仿宋_GB2312" w:eastAsia="仿宋_GB2312" w:cs="仿宋_GB2312"/>
          <w:bCs/>
          <w:color w:val="000000"/>
          <w:sz w:val="24"/>
        </w:rPr>
        <w:t>内江市第一人民医院</w:t>
      </w:r>
      <w:r>
        <w:rPr>
          <w:rFonts w:hint="eastAsia" w:ascii="仿宋_GB2312" w:hAnsi="仿宋_GB2312" w:eastAsia="仿宋_GB2312" w:cs="仿宋_GB2312"/>
          <w:color w:val="000000"/>
          <w:sz w:val="24"/>
        </w:rPr>
        <w:t>任何材料资料和技术、服务、商务等响应承诺情况都是真实的、有效的、合法的。</w:t>
      </w:r>
    </w:p>
    <w:p w14:paraId="309B9589">
      <w:pPr>
        <w:widowControl/>
        <w:spacing w:line="360" w:lineRule="auto"/>
        <w:ind w:firstLine="480" w:firstLineChars="20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本公司对上述承诺的内容事项真实性负责。如经查实上述承诺的内容事项存在虚假，我公司愿意接受以提供虚假材料谋取中选追究法律责任。</w:t>
      </w:r>
    </w:p>
    <w:p w14:paraId="7EB468B4">
      <w:pPr>
        <w:widowControl/>
        <w:spacing w:line="360" w:lineRule="auto"/>
        <w:ind w:firstLine="480" w:firstLineChars="200"/>
        <w:jc w:val="left"/>
        <w:outlineLvl w:val="1"/>
        <w:rPr>
          <w:rFonts w:hint="eastAsia" w:ascii="仿宋_GB2312" w:hAnsi="仿宋_GB2312" w:eastAsia="仿宋_GB2312" w:cs="仿宋_GB2312"/>
          <w:sz w:val="24"/>
        </w:rPr>
      </w:pPr>
    </w:p>
    <w:p w14:paraId="778044AC">
      <w:pPr>
        <w:widowControl/>
        <w:spacing w:line="360" w:lineRule="auto"/>
        <w:ind w:firstLine="480" w:firstLineChars="200"/>
        <w:jc w:val="left"/>
        <w:outlineLvl w:val="1"/>
        <w:rPr>
          <w:rFonts w:hint="eastAsia" w:ascii="仿宋_GB2312" w:hAnsi="仿宋_GB2312" w:eastAsia="仿宋_GB2312" w:cs="仿宋_GB2312"/>
          <w:sz w:val="24"/>
        </w:rPr>
      </w:pPr>
    </w:p>
    <w:p w14:paraId="408A394A">
      <w:pPr>
        <w:widowControl/>
        <w:spacing w:line="360" w:lineRule="auto"/>
        <w:ind w:firstLine="480" w:firstLineChars="20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（单位公章）</w:t>
      </w:r>
    </w:p>
    <w:p w14:paraId="3BAE219D">
      <w:pPr>
        <w:widowControl/>
        <w:spacing w:line="360" w:lineRule="auto"/>
        <w:ind w:firstLine="480" w:firstLineChars="200"/>
        <w:jc w:val="left"/>
        <w:outlineLvl w:val="1"/>
        <w:rPr>
          <w:rFonts w:hint="eastAsia" w:ascii="仿宋_GB2312" w:hAnsi="仿宋_GB2312" w:eastAsia="仿宋_GB2312" w:cs="仿宋_GB2312"/>
          <w:sz w:val="24"/>
        </w:rPr>
      </w:pPr>
    </w:p>
    <w:p w14:paraId="59B34AB5">
      <w:pPr>
        <w:widowControl/>
        <w:spacing w:line="360" w:lineRule="auto"/>
        <w:ind w:firstLine="480" w:firstLineChars="20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法定代表人或授权代表（签字或盖章）：</w:t>
      </w:r>
    </w:p>
    <w:p w14:paraId="3ABEC3A0">
      <w:pPr>
        <w:widowControl/>
        <w:spacing w:line="360" w:lineRule="auto"/>
        <w:ind w:firstLine="480" w:firstLineChars="200"/>
        <w:jc w:val="left"/>
        <w:outlineLvl w:val="1"/>
        <w:rPr>
          <w:rFonts w:hint="eastAsia" w:ascii="仿宋_GB2312" w:hAnsi="仿宋_GB2312" w:eastAsia="仿宋_GB2312" w:cs="仿宋_GB2312"/>
          <w:sz w:val="24"/>
        </w:rPr>
      </w:pPr>
    </w:p>
    <w:p w14:paraId="4DCD50E0">
      <w:pPr>
        <w:widowControl/>
        <w:spacing w:line="360" w:lineRule="auto"/>
        <w:ind w:firstLine="480" w:firstLineChars="20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24"/>
        </w:rPr>
        <w:t>日  期：202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年 月 日</w:t>
      </w:r>
    </w:p>
    <w:p w14:paraId="0581695E">
      <w:pPr>
        <w:wordWrap w:val="0"/>
        <w:spacing w:line="440" w:lineRule="exact"/>
        <w:ind w:firstLine="642"/>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357B887">
      <w:pPr>
        <w:wordWrap/>
        <w:spacing w:line="440" w:lineRule="exact"/>
        <w:ind w:firstLine="642"/>
        <w:jc w:val="left"/>
        <w:rPr>
          <w:rFonts w:hint="eastAsia" w:ascii="仿宋_GB2312" w:hAnsi="仿宋_GB2312" w:eastAsia="仿宋_GB2312" w:cs="仿宋_GB2312"/>
          <w:sz w:val="32"/>
          <w:szCs w:val="32"/>
        </w:rPr>
      </w:pPr>
    </w:p>
    <w:p w14:paraId="0D12163D">
      <w:pPr>
        <w:wordWrap/>
        <w:spacing w:line="440" w:lineRule="exact"/>
        <w:ind w:firstLine="642"/>
        <w:jc w:val="left"/>
        <w:rPr>
          <w:rFonts w:hint="eastAsia" w:ascii="仿宋_GB2312" w:hAnsi="仿宋_GB2312" w:eastAsia="仿宋_GB2312" w:cs="仿宋_GB2312"/>
          <w:sz w:val="32"/>
          <w:szCs w:val="32"/>
        </w:rPr>
      </w:pPr>
    </w:p>
    <w:p w14:paraId="66053FF2">
      <w:pPr>
        <w:wordWrap/>
        <w:spacing w:line="440" w:lineRule="exact"/>
        <w:ind w:firstLine="642"/>
        <w:jc w:val="left"/>
        <w:rPr>
          <w:rFonts w:hint="eastAsia" w:ascii="仿宋_GB2312" w:hAnsi="仿宋_GB2312" w:eastAsia="仿宋_GB2312" w:cs="仿宋_GB2312"/>
          <w:sz w:val="32"/>
          <w:szCs w:val="32"/>
        </w:rPr>
      </w:pPr>
    </w:p>
    <w:p w14:paraId="434504AA">
      <w:pPr>
        <w:pStyle w:val="2"/>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14:paraId="7DC332A9">
      <w:pPr>
        <w:jc w:val="center"/>
        <w:rPr>
          <w:rFonts w:ascii="仿宋" w:hAnsi="仿宋" w:eastAsia="仿宋" w:cs="仿宋"/>
          <w:b/>
          <w:bCs/>
          <w:sz w:val="28"/>
          <w:szCs w:val="28"/>
        </w:rPr>
      </w:pPr>
      <w:r>
        <w:rPr>
          <w:rFonts w:hint="eastAsia" w:ascii="仿宋" w:hAnsi="仿宋" w:eastAsia="仿宋" w:cs="仿宋"/>
          <w:b/>
          <w:bCs/>
          <w:sz w:val="44"/>
          <w:szCs w:val="44"/>
        </w:rPr>
        <w:t>技术</w:t>
      </w:r>
      <w:r>
        <w:rPr>
          <w:rFonts w:hint="eastAsia" w:ascii="仿宋" w:hAnsi="仿宋" w:eastAsia="仿宋" w:cs="仿宋"/>
          <w:b/>
          <w:bCs/>
          <w:sz w:val="44"/>
          <w:szCs w:val="44"/>
          <w:lang w:eastAsia="zh-CN"/>
        </w:rPr>
        <w:t>和</w:t>
      </w:r>
      <w:r>
        <w:rPr>
          <w:rFonts w:hint="eastAsia" w:ascii="仿宋" w:hAnsi="仿宋" w:eastAsia="仿宋" w:cs="仿宋"/>
          <w:b/>
          <w:bCs/>
          <w:sz w:val="44"/>
          <w:szCs w:val="44"/>
        </w:rPr>
        <w:t>服务要求应答表</w:t>
      </w:r>
    </w:p>
    <w:p w14:paraId="4B778F12">
      <w:pPr>
        <w:pStyle w:val="8"/>
        <w:widowControl w:val="0"/>
        <w:autoSpaceDE w:val="0"/>
        <w:autoSpaceDN w:val="0"/>
        <w:spacing w:before="26" w:beforeAutospacing="0" w:after="0" w:afterAutospacing="0" w:line="355" w:lineRule="auto"/>
        <w:ind w:left="212" w:right="-12"/>
        <w:rPr>
          <w:rFonts w:hint="eastAsia" w:ascii="仿宋" w:hAnsi="仿宋" w:eastAsia="仿宋" w:cs="仿宋"/>
          <w:sz w:val="24"/>
          <w:szCs w:val="24"/>
          <w:lang w:bidi="ar"/>
        </w:rPr>
      </w:pPr>
    </w:p>
    <w:p w14:paraId="706A1181">
      <w:pPr>
        <w:pStyle w:val="8"/>
        <w:widowControl w:val="0"/>
        <w:autoSpaceDE w:val="0"/>
        <w:autoSpaceDN w:val="0"/>
        <w:spacing w:before="26" w:beforeAutospacing="0" w:after="0" w:afterAutospacing="0" w:line="355" w:lineRule="auto"/>
        <w:ind w:left="212" w:right="-12"/>
        <w:rPr>
          <w:rFonts w:ascii="仿宋" w:hAnsi="仿宋" w:eastAsia="仿宋" w:cs="仿宋"/>
          <w:sz w:val="24"/>
          <w:szCs w:val="24"/>
          <w:u w:val="single"/>
        </w:rPr>
      </w:pPr>
      <w:r>
        <w:rPr>
          <w:rFonts w:hint="eastAsia" w:ascii="仿宋" w:hAnsi="仿宋" w:eastAsia="仿宋" w:cs="仿宋"/>
          <w:sz w:val="24"/>
          <w:szCs w:val="24"/>
          <w:lang w:bidi="ar"/>
        </w:rPr>
        <w:t>项目名称：</w:t>
      </w:r>
      <w:r>
        <w:rPr>
          <w:rFonts w:hint="eastAsia" w:ascii="仿宋" w:hAnsi="仿宋" w:eastAsia="仿宋" w:cs="仿宋"/>
          <w:sz w:val="24"/>
          <w:szCs w:val="24"/>
          <w:u w:val="single"/>
          <w:lang w:bidi="ar"/>
        </w:rPr>
        <w:t xml:space="preserve">             </w:t>
      </w:r>
    </w:p>
    <w:tbl>
      <w:tblPr>
        <w:tblStyle w:val="9"/>
        <w:tblpPr w:leftFromText="180" w:rightFromText="180" w:vertAnchor="text" w:horzAnchor="page" w:tblpX="1781" w:tblpY="304"/>
        <w:tblOverlap w:val="never"/>
        <w:tblW w:w="8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3810"/>
        <w:gridCol w:w="3352"/>
      </w:tblGrid>
      <w:tr w14:paraId="43C5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038" w:type="dxa"/>
            <w:vAlign w:val="center"/>
          </w:tcPr>
          <w:p w14:paraId="045CD367">
            <w:pPr>
              <w:jc w:val="center"/>
              <w:rPr>
                <w:rFonts w:ascii="仿宋" w:hAnsi="仿宋" w:eastAsia="仿宋" w:cs="仿宋"/>
                <w:b/>
                <w:bCs/>
                <w:sz w:val="24"/>
              </w:rPr>
            </w:pPr>
            <w:r>
              <w:rPr>
                <w:rFonts w:hint="eastAsia" w:ascii="仿宋" w:hAnsi="仿宋" w:eastAsia="仿宋" w:cs="仿宋"/>
                <w:b/>
                <w:bCs/>
                <w:sz w:val="24"/>
              </w:rPr>
              <w:t>序号</w:t>
            </w:r>
          </w:p>
        </w:tc>
        <w:tc>
          <w:tcPr>
            <w:tcW w:w="3810" w:type="dxa"/>
            <w:vAlign w:val="center"/>
          </w:tcPr>
          <w:p w14:paraId="248AD5AB">
            <w:pPr>
              <w:jc w:val="center"/>
              <w:rPr>
                <w:rFonts w:ascii="仿宋" w:hAnsi="仿宋" w:eastAsia="仿宋" w:cs="仿宋"/>
                <w:b/>
                <w:bCs/>
                <w:sz w:val="24"/>
              </w:rPr>
            </w:pPr>
            <w:r>
              <w:rPr>
                <w:rFonts w:hint="eastAsia" w:ascii="仿宋" w:hAnsi="仿宋" w:eastAsia="仿宋" w:cs="仿宋"/>
                <w:b/>
                <w:bCs/>
                <w:sz w:val="24"/>
                <w:lang w:eastAsia="zh-CN"/>
              </w:rPr>
              <w:t>技术和服务</w:t>
            </w:r>
            <w:r>
              <w:rPr>
                <w:rFonts w:hint="eastAsia" w:ascii="仿宋" w:hAnsi="仿宋" w:eastAsia="仿宋" w:cs="仿宋"/>
                <w:b/>
                <w:bCs/>
                <w:sz w:val="24"/>
              </w:rPr>
              <w:t>要求</w:t>
            </w:r>
          </w:p>
        </w:tc>
        <w:tc>
          <w:tcPr>
            <w:tcW w:w="3352" w:type="dxa"/>
            <w:vAlign w:val="center"/>
          </w:tcPr>
          <w:p w14:paraId="7211D2F6">
            <w:pPr>
              <w:jc w:val="center"/>
              <w:rPr>
                <w:rFonts w:ascii="仿宋" w:hAnsi="仿宋" w:eastAsia="仿宋" w:cs="仿宋"/>
                <w:b/>
                <w:bCs/>
                <w:sz w:val="24"/>
              </w:rPr>
            </w:pPr>
            <w:r>
              <w:rPr>
                <w:rFonts w:hint="eastAsia" w:ascii="仿宋" w:hAnsi="仿宋" w:eastAsia="仿宋" w:cs="仿宋"/>
                <w:b/>
                <w:bCs/>
                <w:sz w:val="24"/>
                <w:lang w:eastAsia="zh-CN"/>
              </w:rPr>
              <w:t>供应商</w:t>
            </w:r>
            <w:r>
              <w:rPr>
                <w:rFonts w:hint="eastAsia" w:ascii="仿宋" w:hAnsi="仿宋" w:eastAsia="仿宋" w:cs="仿宋"/>
                <w:b/>
                <w:bCs/>
                <w:sz w:val="24"/>
              </w:rPr>
              <w:t>响应</w:t>
            </w:r>
          </w:p>
        </w:tc>
      </w:tr>
      <w:tr w14:paraId="2A2E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38" w:type="dxa"/>
          </w:tcPr>
          <w:p w14:paraId="76C7549A">
            <w:pPr>
              <w:jc w:val="center"/>
              <w:rPr>
                <w:rFonts w:ascii="仿宋" w:hAnsi="仿宋" w:eastAsia="仿宋" w:cs="仿宋"/>
                <w:sz w:val="24"/>
              </w:rPr>
            </w:pPr>
          </w:p>
        </w:tc>
        <w:tc>
          <w:tcPr>
            <w:tcW w:w="3810" w:type="dxa"/>
          </w:tcPr>
          <w:p w14:paraId="338355D4">
            <w:pPr>
              <w:jc w:val="center"/>
              <w:rPr>
                <w:rFonts w:ascii="仿宋" w:hAnsi="仿宋" w:eastAsia="仿宋" w:cs="仿宋"/>
                <w:sz w:val="24"/>
              </w:rPr>
            </w:pPr>
          </w:p>
        </w:tc>
        <w:tc>
          <w:tcPr>
            <w:tcW w:w="3352" w:type="dxa"/>
          </w:tcPr>
          <w:p w14:paraId="5396A518">
            <w:pPr>
              <w:jc w:val="center"/>
              <w:rPr>
                <w:rFonts w:ascii="仿宋" w:hAnsi="仿宋" w:eastAsia="仿宋" w:cs="仿宋"/>
                <w:sz w:val="24"/>
              </w:rPr>
            </w:pPr>
          </w:p>
        </w:tc>
      </w:tr>
      <w:tr w14:paraId="76E3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38" w:type="dxa"/>
          </w:tcPr>
          <w:p w14:paraId="2011D726">
            <w:pPr>
              <w:jc w:val="center"/>
              <w:rPr>
                <w:rFonts w:ascii="仿宋" w:hAnsi="仿宋" w:eastAsia="仿宋" w:cs="仿宋"/>
                <w:sz w:val="24"/>
              </w:rPr>
            </w:pPr>
          </w:p>
        </w:tc>
        <w:tc>
          <w:tcPr>
            <w:tcW w:w="3810" w:type="dxa"/>
          </w:tcPr>
          <w:p w14:paraId="574362D3">
            <w:pPr>
              <w:jc w:val="center"/>
              <w:rPr>
                <w:rFonts w:ascii="仿宋" w:hAnsi="仿宋" w:eastAsia="仿宋" w:cs="仿宋"/>
                <w:sz w:val="24"/>
              </w:rPr>
            </w:pPr>
          </w:p>
        </w:tc>
        <w:tc>
          <w:tcPr>
            <w:tcW w:w="3352" w:type="dxa"/>
          </w:tcPr>
          <w:p w14:paraId="185E81B8">
            <w:pPr>
              <w:jc w:val="center"/>
              <w:rPr>
                <w:rFonts w:ascii="仿宋" w:hAnsi="仿宋" w:eastAsia="仿宋" w:cs="仿宋"/>
                <w:sz w:val="24"/>
              </w:rPr>
            </w:pPr>
          </w:p>
        </w:tc>
      </w:tr>
      <w:tr w14:paraId="0FAF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38" w:type="dxa"/>
          </w:tcPr>
          <w:p w14:paraId="2C7CE456">
            <w:pPr>
              <w:jc w:val="center"/>
              <w:rPr>
                <w:rFonts w:ascii="仿宋" w:hAnsi="仿宋" w:eastAsia="仿宋" w:cs="仿宋"/>
                <w:sz w:val="24"/>
              </w:rPr>
            </w:pPr>
          </w:p>
        </w:tc>
        <w:tc>
          <w:tcPr>
            <w:tcW w:w="3810" w:type="dxa"/>
          </w:tcPr>
          <w:p w14:paraId="20DE3D66">
            <w:pPr>
              <w:jc w:val="center"/>
              <w:rPr>
                <w:rFonts w:ascii="仿宋" w:hAnsi="仿宋" w:eastAsia="仿宋" w:cs="仿宋"/>
                <w:sz w:val="24"/>
              </w:rPr>
            </w:pPr>
          </w:p>
        </w:tc>
        <w:tc>
          <w:tcPr>
            <w:tcW w:w="3352" w:type="dxa"/>
          </w:tcPr>
          <w:p w14:paraId="21DF2A7B">
            <w:pPr>
              <w:jc w:val="center"/>
              <w:rPr>
                <w:rFonts w:ascii="仿宋" w:hAnsi="仿宋" w:eastAsia="仿宋" w:cs="仿宋"/>
                <w:sz w:val="24"/>
              </w:rPr>
            </w:pPr>
          </w:p>
        </w:tc>
      </w:tr>
      <w:tr w14:paraId="77A7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038" w:type="dxa"/>
          </w:tcPr>
          <w:p w14:paraId="53697C66">
            <w:pPr>
              <w:jc w:val="center"/>
              <w:rPr>
                <w:rFonts w:ascii="仿宋" w:hAnsi="仿宋" w:eastAsia="仿宋" w:cs="仿宋"/>
                <w:sz w:val="24"/>
              </w:rPr>
            </w:pPr>
          </w:p>
        </w:tc>
        <w:tc>
          <w:tcPr>
            <w:tcW w:w="3810" w:type="dxa"/>
          </w:tcPr>
          <w:p w14:paraId="0119D4C4">
            <w:pPr>
              <w:jc w:val="center"/>
              <w:rPr>
                <w:rFonts w:ascii="仿宋" w:hAnsi="仿宋" w:eastAsia="仿宋" w:cs="仿宋"/>
                <w:sz w:val="24"/>
              </w:rPr>
            </w:pPr>
          </w:p>
        </w:tc>
        <w:tc>
          <w:tcPr>
            <w:tcW w:w="3352" w:type="dxa"/>
          </w:tcPr>
          <w:p w14:paraId="176A305B">
            <w:pPr>
              <w:jc w:val="center"/>
              <w:rPr>
                <w:rFonts w:ascii="仿宋" w:hAnsi="仿宋" w:eastAsia="仿宋" w:cs="仿宋"/>
                <w:sz w:val="24"/>
              </w:rPr>
            </w:pPr>
          </w:p>
        </w:tc>
      </w:tr>
    </w:tbl>
    <w:p w14:paraId="57EA3868">
      <w:pPr>
        <w:pStyle w:val="7"/>
        <w:pBdr>
          <w:bottom w:val="none" w:color="auto" w:sz="0" w:space="0"/>
        </w:pBdr>
        <w:tabs>
          <w:tab w:val="clear" w:pos="4153"/>
          <w:tab w:val="clear" w:pos="8306"/>
        </w:tabs>
        <w:snapToGrid/>
        <w:jc w:val="both"/>
        <w:rPr>
          <w:rFonts w:ascii="仿宋" w:hAnsi="仿宋" w:eastAsia="仿宋" w:cs="仿宋"/>
          <w:sz w:val="24"/>
          <w:szCs w:val="24"/>
        </w:rPr>
      </w:pPr>
    </w:p>
    <w:p w14:paraId="1CA1938A">
      <w:pPr>
        <w:ind w:firstLine="482" w:firstLineChars="200"/>
        <w:rPr>
          <w:rFonts w:ascii="仿宋" w:hAnsi="仿宋" w:eastAsia="仿宋" w:cs="仿宋"/>
          <w:b/>
          <w:sz w:val="24"/>
        </w:rPr>
      </w:pPr>
    </w:p>
    <w:p w14:paraId="39CB6FC4">
      <w:pPr>
        <w:pStyle w:val="8"/>
        <w:widowControl w:val="0"/>
        <w:autoSpaceDE w:val="0"/>
        <w:autoSpaceDN w:val="0"/>
        <w:spacing w:before="0" w:beforeAutospacing="0" w:after="0" w:afterAutospacing="0" w:line="360" w:lineRule="auto"/>
        <w:rPr>
          <w:rFonts w:ascii="仿宋" w:hAnsi="仿宋" w:eastAsia="仿宋" w:cs="仿宋"/>
          <w:bCs/>
          <w:sz w:val="24"/>
          <w:szCs w:val="24"/>
          <w:lang w:bidi="ar"/>
        </w:rPr>
      </w:pPr>
      <w:r>
        <w:rPr>
          <w:rFonts w:hint="eastAsia" w:ascii="仿宋" w:hAnsi="仿宋" w:eastAsia="仿宋" w:cs="仿宋"/>
          <w:b/>
          <w:sz w:val="24"/>
          <w:szCs w:val="24"/>
          <w:lang w:bidi="ar"/>
        </w:rPr>
        <w:t>注：</w:t>
      </w:r>
      <w:r>
        <w:rPr>
          <w:rFonts w:hint="eastAsia" w:ascii="仿宋" w:hAnsi="仿宋" w:eastAsia="仿宋" w:cs="仿宋"/>
          <w:bCs/>
          <w:sz w:val="24"/>
          <w:szCs w:val="24"/>
          <w:lang w:eastAsia="zh-CN" w:bidi="ar"/>
        </w:rPr>
        <w:t>供应商</w:t>
      </w:r>
      <w:r>
        <w:rPr>
          <w:rFonts w:hint="eastAsia" w:ascii="仿宋" w:hAnsi="仿宋" w:eastAsia="仿宋" w:cs="仿宋"/>
          <w:bCs/>
          <w:sz w:val="24"/>
          <w:szCs w:val="24"/>
          <w:lang w:bidi="ar"/>
        </w:rPr>
        <w:t>须按</w:t>
      </w:r>
      <w:r>
        <w:rPr>
          <w:rFonts w:hint="eastAsia" w:ascii="仿宋" w:hAnsi="仿宋" w:eastAsia="仿宋" w:cs="仿宋"/>
          <w:bCs/>
          <w:sz w:val="24"/>
          <w:szCs w:val="24"/>
          <w:lang w:eastAsia="zh-CN" w:bidi="ar"/>
        </w:rPr>
        <w:t>询价文件“二、技术和</w:t>
      </w:r>
      <w:r>
        <w:rPr>
          <w:rFonts w:hint="eastAsia" w:ascii="仿宋" w:hAnsi="仿宋" w:eastAsia="仿宋" w:cs="仿宋"/>
          <w:bCs/>
          <w:sz w:val="24"/>
          <w:szCs w:val="24"/>
          <w:lang w:bidi="ar"/>
        </w:rPr>
        <w:t>要求</w:t>
      </w:r>
      <w:r>
        <w:rPr>
          <w:rFonts w:hint="eastAsia" w:ascii="仿宋" w:hAnsi="仿宋" w:eastAsia="仿宋" w:cs="仿宋"/>
          <w:bCs/>
          <w:sz w:val="24"/>
          <w:szCs w:val="24"/>
          <w:lang w:eastAsia="zh-CN" w:bidi="ar"/>
        </w:rPr>
        <w:t>”</w:t>
      </w:r>
      <w:r>
        <w:rPr>
          <w:rFonts w:hint="eastAsia" w:ascii="仿宋" w:hAnsi="仿宋" w:eastAsia="仿宋" w:cs="仿宋"/>
          <w:bCs/>
          <w:sz w:val="24"/>
          <w:szCs w:val="24"/>
          <w:lang w:bidi="ar"/>
        </w:rPr>
        <w:t>的内容逐一进行响应。</w:t>
      </w:r>
      <w:r>
        <w:rPr>
          <w:rFonts w:hint="eastAsia" w:ascii="仿宋" w:hAnsi="仿宋" w:eastAsia="仿宋" w:cs="仿宋"/>
          <w:bCs/>
          <w:sz w:val="24"/>
          <w:szCs w:val="24"/>
          <w:lang w:eastAsia="zh-CN" w:bidi="ar"/>
        </w:rPr>
        <w:t>供应商</w:t>
      </w:r>
      <w:r>
        <w:rPr>
          <w:rFonts w:hint="eastAsia" w:ascii="仿宋" w:hAnsi="仿宋" w:eastAsia="仿宋" w:cs="仿宋"/>
          <w:bCs/>
          <w:sz w:val="24"/>
          <w:szCs w:val="24"/>
          <w:lang w:bidi="ar"/>
        </w:rPr>
        <w:t>必须据实填写，不得虚假应答,否则将取消其成交资格。</w:t>
      </w:r>
      <w:r>
        <w:rPr>
          <w:rFonts w:hint="eastAsia" w:ascii="仿宋" w:hAnsi="仿宋" w:eastAsia="仿宋" w:cs="仿宋"/>
          <w:b/>
          <w:sz w:val="24"/>
          <w:szCs w:val="24"/>
          <w:lang w:bidi="ar"/>
        </w:rPr>
        <w:t>要求提供承诺函或证明材料的条款，以</w:t>
      </w:r>
      <w:r>
        <w:rPr>
          <w:rFonts w:hint="eastAsia" w:ascii="仿宋" w:hAnsi="仿宋" w:eastAsia="仿宋" w:cs="仿宋"/>
          <w:b/>
          <w:sz w:val="24"/>
          <w:szCs w:val="24"/>
          <w:lang w:eastAsia="zh-CN" w:bidi="ar"/>
        </w:rPr>
        <w:t>供应商</w:t>
      </w:r>
      <w:r>
        <w:rPr>
          <w:rFonts w:hint="eastAsia" w:ascii="仿宋" w:hAnsi="仿宋" w:eastAsia="仿宋" w:cs="仿宋"/>
          <w:b/>
          <w:sz w:val="24"/>
          <w:szCs w:val="24"/>
          <w:lang w:bidi="ar"/>
        </w:rPr>
        <w:t>提供的承诺函或证明材料为准，如未提供则不予认可</w:t>
      </w:r>
      <w:r>
        <w:rPr>
          <w:rFonts w:hint="eastAsia" w:ascii="仿宋" w:hAnsi="仿宋" w:eastAsia="仿宋" w:cs="仿宋"/>
          <w:bCs/>
          <w:sz w:val="24"/>
          <w:szCs w:val="24"/>
          <w:lang w:bidi="ar"/>
        </w:rPr>
        <w:t>。</w:t>
      </w:r>
    </w:p>
    <w:p w14:paraId="581DD5AB">
      <w:pPr>
        <w:adjustRightInd w:val="0"/>
        <w:spacing w:line="400" w:lineRule="exact"/>
        <w:ind w:firstLine="480" w:firstLineChars="200"/>
        <w:jc w:val="left"/>
        <w:rPr>
          <w:rFonts w:ascii="仿宋" w:hAnsi="仿宋" w:eastAsia="仿宋" w:cs="仿宋"/>
          <w:sz w:val="24"/>
        </w:rPr>
      </w:pPr>
    </w:p>
    <w:p w14:paraId="017CD4A3">
      <w:pPr>
        <w:adjustRightInd w:val="0"/>
        <w:spacing w:line="400" w:lineRule="exact"/>
        <w:ind w:firstLine="480" w:firstLineChars="200"/>
        <w:jc w:val="left"/>
        <w:rPr>
          <w:rFonts w:ascii="仿宋" w:hAnsi="仿宋" w:eastAsia="仿宋" w:cs="仿宋"/>
          <w:sz w:val="24"/>
        </w:rPr>
      </w:pPr>
    </w:p>
    <w:p w14:paraId="4FC94F8F">
      <w:pPr>
        <w:adjustRightInd w:val="0"/>
        <w:spacing w:line="400" w:lineRule="exact"/>
        <w:ind w:firstLine="480" w:firstLineChars="200"/>
        <w:jc w:val="left"/>
        <w:rPr>
          <w:rFonts w:ascii="仿宋" w:hAnsi="仿宋" w:eastAsia="仿宋" w:cs="仿宋"/>
          <w:sz w:val="24"/>
        </w:rPr>
      </w:pPr>
      <w:r>
        <w:rPr>
          <w:rFonts w:hint="eastAsia" w:ascii="仿宋" w:hAnsi="仿宋" w:eastAsia="仿宋" w:cs="仿宋"/>
          <w:sz w:val="24"/>
          <w:lang w:eastAsia="zh-CN"/>
        </w:rPr>
        <w:t>供应商</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（单位公章）</w:t>
      </w:r>
    </w:p>
    <w:p w14:paraId="106C8554">
      <w:pPr>
        <w:adjustRightInd w:val="0"/>
        <w:spacing w:line="400" w:lineRule="exact"/>
        <w:ind w:firstLine="480" w:firstLineChars="200"/>
        <w:jc w:val="left"/>
        <w:rPr>
          <w:rFonts w:hint="eastAsia" w:ascii="仿宋" w:hAnsi="仿宋" w:eastAsia="仿宋" w:cs="仿宋"/>
          <w:bCs/>
          <w:sz w:val="24"/>
        </w:rPr>
      </w:pPr>
    </w:p>
    <w:p w14:paraId="78A21893">
      <w:pPr>
        <w:adjustRightInd w:val="0"/>
        <w:spacing w:line="400" w:lineRule="exact"/>
        <w:ind w:firstLine="480" w:firstLineChars="200"/>
        <w:jc w:val="left"/>
        <w:rPr>
          <w:rFonts w:ascii="仿宋" w:hAnsi="仿宋" w:eastAsia="仿宋" w:cs="仿宋"/>
          <w:bCs/>
          <w:sz w:val="24"/>
        </w:rPr>
      </w:pPr>
      <w:r>
        <w:rPr>
          <w:rFonts w:hint="eastAsia" w:ascii="仿宋" w:hAnsi="仿宋" w:eastAsia="仿宋" w:cs="仿宋"/>
          <w:bCs/>
          <w:sz w:val="24"/>
        </w:rPr>
        <w:t xml:space="preserve">法定代表人或授权代表（签字或盖章）： </w:t>
      </w:r>
    </w:p>
    <w:p w14:paraId="6BB80E25">
      <w:pPr>
        <w:adjustRightInd w:val="0"/>
        <w:spacing w:line="400" w:lineRule="exact"/>
        <w:ind w:firstLine="540" w:firstLineChars="225"/>
        <w:jc w:val="left"/>
        <w:rPr>
          <w:rFonts w:hint="eastAsia" w:ascii="仿宋" w:hAnsi="仿宋" w:eastAsia="仿宋" w:cs="仿宋"/>
          <w:bCs/>
          <w:sz w:val="24"/>
        </w:rPr>
      </w:pPr>
    </w:p>
    <w:p w14:paraId="4E6392BD">
      <w:pPr>
        <w:adjustRightInd w:val="0"/>
        <w:spacing w:line="400" w:lineRule="exact"/>
        <w:ind w:firstLine="540" w:firstLineChars="225"/>
        <w:jc w:val="left"/>
        <w:rPr>
          <w:rFonts w:ascii="仿宋" w:hAnsi="仿宋" w:eastAsia="仿宋" w:cs="仿宋"/>
          <w:bCs/>
          <w:sz w:val="24"/>
        </w:rPr>
      </w:pPr>
      <w:r>
        <w:rPr>
          <w:rFonts w:hint="eastAsia" w:ascii="仿宋" w:hAnsi="仿宋" w:eastAsia="仿宋" w:cs="仿宋"/>
          <w:bCs/>
          <w:sz w:val="24"/>
        </w:rPr>
        <w:t>日  期</w:t>
      </w:r>
      <w:r>
        <w:rPr>
          <w:rFonts w:hint="eastAsia" w:ascii="仿宋" w:hAnsi="仿宋" w:eastAsia="仿宋" w:cs="仿宋"/>
          <w:sz w:val="24"/>
        </w:rPr>
        <w:t>：</w:t>
      </w:r>
      <w:r>
        <w:rPr>
          <w:rFonts w:hint="eastAsia" w:ascii="仿宋" w:hAnsi="仿宋" w:eastAsia="仿宋" w:cs="仿宋"/>
          <w:bCs/>
          <w:sz w:val="24"/>
        </w:rPr>
        <w:t xml:space="preserve">    年</w:t>
      </w:r>
      <w:r>
        <w:rPr>
          <w:rFonts w:hint="eastAsia" w:ascii="仿宋" w:hAnsi="仿宋" w:eastAsia="仿宋" w:cs="仿宋"/>
          <w:bCs/>
          <w:sz w:val="24"/>
          <w:lang w:val="en-US" w:eastAsia="zh-CN"/>
        </w:rPr>
        <w:t xml:space="preserve">  </w:t>
      </w:r>
      <w:r>
        <w:rPr>
          <w:rFonts w:hint="eastAsia" w:ascii="仿宋" w:hAnsi="仿宋" w:eastAsia="仿宋" w:cs="仿宋"/>
          <w:bCs/>
          <w:sz w:val="24"/>
        </w:rPr>
        <w:t xml:space="preserve"> 月</w:t>
      </w:r>
      <w:r>
        <w:rPr>
          <w:rFonts w:hint="eastAsia" w:ascii="仿宋" w:hAnsi="仿宋" w:eastAsia="仿宋" w:cs="仿宋"/>
          <w:bCs/>
          <w:sz w:val="24"/>
          <w:lang w:val="en-US" w:eastAsia="zh-CN"/>
        </w:rPr>
        <w:t xml:space="preserve">  </w:t>
      </w:r>
      <w:r>
        <w:rPr>
          <w:rFonts w:hint="eastAsia" w:ascii="仿宋" w:hAnsi="仿宋" w:eastAsia="仿宋" w:cs="仿宋"/>
          <w:bCs/>
          <w:sz w:val="24"/>
        </w:rPr>
        <w:t xml:space="preserve"> 日</w:t>
      </w:r>
    </w:p>
    <w:p w14:paraId="0B49B34C">
      <w:pPr>
        <w:spacing w:line="360" w:lineRule="auto"/>
        <w:jc w:val="center"/>
        <w:rPr>
          <w:rFonts w:hint="eastAsia" w:ascii="仿宋" w:hAnsi="仿宋" w:eastAsia="仿宋" w:cs="仿宋"/>
          <w:b/>
          <w:bCs/>
          <w:sz w:val="28"/>
          <w:szCs w:val="28"/>
        </w:rPr>
      </w:pPr>
    </w:p>
    <w:p w14:paraId="51F458F1">
      <w:pPr>
        <w:pStyle w:val="2"/>
        <w:rPr>
          <w:rFonts w:hint="eastAsia" w:ascii="黑体" w:hAnsi="黑体" w:eastAsia="黑体" w:cs="黑体"/>
          <w:sz w:val="28"/>
          <w:szCs w:val="28"/>
          <w:lang w:val="en-US" w:eastAsia="zh-CN"/>
        </w:rPr>
      </w:pPr>
    </w:p>
    <w:p w14:paraId="3D784041">
      <w:pPr>
        <w:pStyle w:val="2"/>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附件4</w:t>
      </w:r>
    </w:p>
    <w:p w14:paraId="41B678FA">
      <w:pPr>
        <w:spacing w:line="360" w:lineRule="auto"/>
        <w:jc w:val="center"/>
        <w:rPr>
          <w:rFonts w:ascii="仿宋" w:hAnsi="仿宋" w:eastAsia="仿宋" w:cs="仿宋"/>
          <w:b/>
          <w:bCs/>
          <w:sz w:val="44"/>
          <w:szCs w:val="44"/>
        </w:rPr>
      </w:pPr>
      <w:r>
        <w:rPr>
          <w:rFonts w:hint="eastAsia" w:ascii="仿宋" w:hAnsi="仿宋" w:eastAsia="仿宋" w:cs="仿宋"/>
          <w:b/>
          <w:bCs/>
          <w:sz w:val="44"/>
          <w:szCs w:val="44"/>
        </w:rPr>
        <w:t>商务应答表</w:t>
      </w:r>
    </w:p>
    <w:p w14:paraId="2E07B89D">
      <w:pPr>
        <w:pStyle w:val="8"/>
        <w:widowControl w:val="0"/>
        <w:autoSpaceDE w:val="0"/>
        <w:autoSpaceDN w:val="0"/>
        <w:spacing w:before="26" w:beforeAutospacing="0" w:after="0" w:afterAutospacing="0" w:line="355" w:lineRule="auto"/>
        <w:ind w:right="-12"/>
        <w:rPr>
          <w:rFonts w:ascii="仿宋" w:hAnsi="仿宋" w:eastAsia="仿宋" w:cs="仿宋"/>
          <w:sz w:val="24"/>
          <w:szCs w:val="24"/>
          <w:lang w:bidi="ar"/>
        </w:rPr>
      </w:pPr>
    </w:p>
    <w:p w14:paraId="5EDF163A">
      <w:pPr>
        <w:pStyle w:val="8"/>
        <w:widowControl w:val="0"/>
        <w:autoSpaceDE w:val="0"/>
        <w:autoSpaceDN w:val="0"/>
        <w:spacing w:before="26" w:beforeAutospacing="0" w:after="0" w:afterAutospacing="0" w:line="355" w:lineRule="auto"/>
        <w:ind w:left="212" w:right="-12"/>
        <w:rPr>
          <w:rFonts w:ascii="仿宋" w:hAnsi="仿宋" w:eastAsia="仿宋" w:cs="仿宋"/>
          <w:sz w:val="24"/>
          <w:szCs w:val="24"/>
          <w:u w:val="single"/>
        </w:rPr>
      </w:pPr>
      <w:r>
        <w:rPr>
          <w:rFonts w:hint="eastAsia" w:ascii="仿宋" w:hAnsi="仿宋" w:eastAsia="仿宋" w:cs="仿宋"/>
          <w:sz w:val="24"/>
          <w:szCs w:val="24"/>
          <w:lang w:bidi="ar"/>
        </w:rPr>
        <w:t>项目名称：</w:t>
      </w:r>
      <w:r>
        <w:rPr>
          <w:rFonts w:hint="eastAsia" w:ascii="仿宋" w:hAnsi="仿宋" w:eastAsia="仿宋" w:cs="仿宋"/>
          <w:sz w:val="24"/>
          <w:szCs w:val="24"/>
          <w:u w:val="single"/>
          <w:lang w:bidi="ar"/>
        </w:rPr>
        <w:t xml:space="preserve">             </w:t>
      </w:r>
    </w:p>
    <w:p w14:paraId="73BB5817">
      <w:pPr>
        <w:pStyle w:val="8"/>
        <w:widowControl w:val="0"/>
        <w:autoSpaceDE w:val="0"/>
        <w:autoSpaceDN w:val="0"/>
        <w:spacing w:before="0" w:beforeAutospacing="0" w:after="0" w:afterAutospacing="0"/>
        <w:rPr>
          <w:rFonts w:ascii="仿宋" w:hAnsi="仿宋" w:eastAsia="仿宋" w:cs="仿宋"/>
          <w:sz w:val="20"/>
          <w:szCs w:val="20"/>
        </w:rPr>
      </w:pPr>
      <w:r>
        <w:rPr>
          <w:rFonts w:hint="eastAsia" w:ascii="仿宋" w:hAnsi="仿宋" w:eastAsia="仿宋" w:cs="仿宋"/>
          <w:sz w:val="20"/>
          <w:szCs w:val="20"/>
          <w:lang w:bidi="ar"/>
        </w:rPr>
        <w:t xml:space="preserve"> </w:t>
      </w:r>
    </w:p>
    <w:tbl>
      <w:tblPr>
        <w:tblStyle w:val="9"/>
        <w:tblpPr w:leftFromText="180" w:rightFromText="180" w:vertAnchor="text" w:horzAnchor="page" w:tblpX="1944" w:tblpY="332"/>
        <w:tblOverlap w:val="never"/>
        <w:tblW w:w="7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150"/>
        <w:gridCol w:w="4025"/>
      </w:tblGrid>
      <w:tr w14:paraId="1290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75" w:type="dxa"/>
            <w:tcBorders>
              <w:top w:val="single" w:color="auto" w:sz="4" w:space="0"/>
              <w:left w:val="single" w:color="auto" w:sz="4" w:space="0"/>
              <w:bottom w:val="single" w:color="auto" w:sz="4" w:space="0"/>
              <w:right w:val="single" w:color="auto" w:sz="4" w:space="0"/>
            </w:tcBorders>
            <w:vAlign w:val="center"/>
          </w:tcPr>
          <w:p w14:paraId="3165CA81">
            <w:pPr>
              <w:autoSpaceDE w:val="0"/>
              <w:autoSpaceDN w:val="0"/>
              <w:spacing w:line="400" w:lineRule="exact"/>
              <w:jc w:val="center"/>
              <w:rPr>
                <w:rFonts w:ascii="仿宋" w:hAnsi="仿宋" w:eastAsia="仿宋" w:cs="仿宋"/>
                <w:b/>
                <w:sz w:val="24"/>
              </w:rPr>
            </w:pPr>
            <w:r>
              <w:rPr>
                <w:rFonts w:hint="eastAsia" w:ascii="仿宋" w:hAnsi="仿宋" w:eastAsia="仿宋" w:cs="仿宋"/>
                <w:b/>
                <w:sz w:val="24"/>
                <w:lang w:bidi="ar"/>
              </w:rPr>
              <w:t>序号</w:t>
            </w:r>
          </w:p>
        </w:tc>
        <w:tc>
          <w:tcPr>
            <w:tcW w:w="3150" w:type="dxa"/>
            <w:tcBorders>
              <w:top w:val="single" w:color="auto" w:sz="4" w:space="0"/>
              <w:left w:val="nil"/>
              <w:bottom w:val="single" w:color="auto" w:sz="4" w:space="0"/>
              <w:right w:val="single" w:color="auto" w:sz="4" w:space="0"/>
            </w:tcBorders>
            <w:vAlign w:val="center"/>
          </w:tcPr>
          <w:p w14:paraId="7C0CE06C">
            <w:pPr>
              <w:autoSpaceDE w:val="0"/>
              <w:autoSpaceDN w:val="0"/>
              <w:spacing w:line="400" w:lineRule="exact"/>
              <w:jc w:val="center"/>
              <w:rPr>
                <w:rFonts w:ascii="仿宋" w:hAnsi="仿宋" w:eastAsia="仿宋" w:cs="仿宋"/>
                <w:b/>
                <w:sz w:val="24"/>
              </w:rPr>
            </w:pPr>
            <w:r>
              <w:rPr>
                <w:rFonts w:hint="eastAsia" w:ascii="仿宋" w:hAnsi="仿宋" w:eastAsia="仿宋" w:cs="仿宋"/>
                <w:b/>
                <w:sz w:val="24"/>
                <w:lang w:bidi="ar"/>
              </w:rPr>
              <w:t xml:space="preserve">商务要求    </w:t>
            </w:r>
          </w:p>
        </w:tc>
        <w:tc>
          <w:tcPr>
            <w:tcW w:w="4025" w:type="dxa"/>
            <w:tcBorders>
              <w:top w:val="single" w:color="auto" w:sz="4" w:space="0"/>
              <w:left w:val="nil"/>
              <w:bottom w:val="single" w:color="auto" w:sz="4" w:space="0"/>
              <w:right w:val="single" w:color="auto" w:sz="4" w:space="0"/>
            </w:tcBorders>
            <w:vAlign w:val="center"/>
          </w:tcPr>
          <w:p w14:paraId="706BC61C">
            <w:pPr>
              <w:autoSpaceDE w:val="0"/>
              <w:autoSpaceDN w:val="0"/>
              <w:spacing w:line="400" w:lineRule="exact"/>
              <w:jc w:val="center"/>
              <w:rPr>
                <w:rFonts w:ascii="仿宋" w:hAnsi="仿宋" w:eastAsia="仿宋" w:cs="仿宋"/>
                <w:b/>
                <w:sz w:val="24"/>
              </w:rPr>
            </w:pPr>
            <w:r>
              <w:rPr>
                <w:rFonts w:hint="eastAsia" w:ascii="仿宋" w:hAnsi="仿宋" w:eastAsia="仿宋" w:cs="仿宋"/>
                <w:b/>
                <w:bCs/>
                <w:sz w:val="24"/>
                <w:lang w:eastAsia="zh-CN"/>
              </w:rPr>
              <w:t>供应商</w:t>
            </w:r>
            <w:r>
              <w:rPr>
                <w:rFonts w:hint="eastAsia" w:ascii="仿宋" w:hAnsi="仿宋" w:eastAsia="仿宋" w:cs="仿宋"/>
                <w:b/>
                <w:bCs/>
                <w:sz w:val="24"/>
              </w:rPr>
              <w:t>响应</w:t>
            </w:r>
          </w:p>
        </w:tc>
      </w:tr>
      <w:tr w14:paraId="61AF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75" w:type="dxa"/>
            <w:tcBorders>
              <w:top w:val="single" w:color="auto" w:sz="4" w:space="0"/>
              <w:left w:val="single" w:color="auto" w:sz="4" w:space="0"/>
              <w:bottom w:val="single" w:color="auto" w:sz="4" w:space="0"/>
              <w:right w:val="single" w:color="auto" w:sz="4" w:space="0"/>
            </w:tcBorders>
            <w:vAlign w:val="center"/>
          </w:tcPr>
          <w:p w14:paraId="7F5BB91B">
            <w:pPr>
              <w:widowControl/>
              <w:autoSpaceDE w:val="0"/>
              <w:autoSpaceDN w:val="0"/>
              <w:spacing w:line="360" w:lineRule="atLeast"/>
              <w:jc w:val="center"/>
              <w:rPr>
                <w:rFonts w:ascii="仿宋" w:hAnsi="仿宋" w:eastAsia="仿宋" w:cs="仿宋"/>
                <w:sz w:val="24"/>
              </w:rPr>
            </w:pPr>
            <w:r>
              <w:rPr>
                <w:rFonts w:hint="eastAsia" w:ascii="仿宋" w:hAnsi="仿宋" w:eastAsia="仿宋" w:cs="仿宋"/>
                <w:sz w:val="24"/>
                <w:lang w:bidi="ar"/>
              </w:rPr>
              <w:t>1</w:t>
            </w:r>
          </w:p>
        </w:tc>
        <w:tc>
          <w:tcPr>
            <w:tcW w:w="3150" w:type="dxa"/>
            <w:tcBorders>
              <w:top w:val="single" w:color="auto" w:sz="4" w:space="0"/>
              <w:left w:val="nil"/>
              <w:bottom w:val="single" w:color="auto" w:sz="4" w:space="0"/>
              <w:right w:val="single" w:color="auto" w:sz="4" w:space="0"/>
            </w:tcBorders>
            <w:vAlign w:val="center"/>
          </w:tcPr>
          <w:p w14:paraId="660F405D">
            <w:pPr>
              <w:autoSpaceDE w:val="0"/>
              <w:autoSpaceDN w:val="0"/>
              <w:spacing w:line="400" w:lineRule="exact"/>
              <w:jc w:val="center"/>
              <w:rPr>
                <w:rFonts w:ascii="仿宋" w:hAnsi="仿宋" w:eastAsia="仿宋" w:cs="仿宋"/>
                <w:sz w:val="24"/>
              </w:rPr>
            </w:pPr>
          </w:p>
        </w:tc>
        <w:tc>
          <w:tcPr>
            <w:tcW w:w="4025" w:type="dxa"/>
            <w:tcBorders>
              <w:top w:val="single" w:color="auto" w:sz="4" w:space="0"/>
              <w:left w:val="nil"/>
              <w:bottom w:val="single" w:color="auto" w:sz="4" w:space="0"/>
              <w:right w:val="single" w:color="auto" w:sz="4" w:space="0"/>
            </w:tcBorders>
            <w:vAlign w:val="center"/>
          </w:tcPr>
          <w:p w14:paraId="34575A89">
            <w:pPr>
              <w:autoSpaceDE w:val="0"/>
              <w:autoSpaceDN w:val="0"/>
              <w:spacing w:line="400" w:lineRule="exact"/>
              <w:ind w:left="317" w:hanging="316" w:hangingChars="132"/>
              <w:jc w:val="center"/>
              <w:rPr>
                <w:rFonts w:ascii="仿宋" w:hAnsi="仿宋" w:eastAsia="仿宋" w:cs="仿宋"/>
                <w:sz w:val="24"/>
              </w:rPr>
            </w:pPr>
          </w:p>
        </w:tc>
      </w:tr>
      <w:tr w14:paraId="6BE1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75" w:type="dxa"/>
            <w:tcBorders>
              <w:top w:val="single" w:color="auto" w:sz="4" w:space="0"/>
              <w:left w:val="single" w:color="auto" w:sz="4" w:space="0"/>
              <w:bottom w:val="single" w:color="auto" w:sz="4" w:space="0"/>
              <w:right w:val="single" w:color="auto" w:sz="4" w:space="0"/>
            </w:tcBorders>
            <w:vAlign w:val="center"/>
          </w:tcPr>
          <w:p w14:paraId="5BC2AE52">
            <w:pPr>
              <w:widowControl/>
              <w:autoSpaceDE w:val="0"/>
              <w:autoSpaceDN w:val="0"/>
              <w:spacing w:line="360" w:lineRule="atLeast"/>
              <w:jc w:val="center"/>
              <w:rPr>
                <w:rFonts w:ascii="仿宋" w:hAnsi="仿宋" w:eastAsia="仿宋" w:cs="仿宋"/>
                <w:sz w:val="24"/>
              </w:rPr>
            </w:pPr>
            <w:r>
              <w:rPr>
                <w:rFonts w:hint="eastAsia" w:ascii="仿宋" w:hAnsi="仿宋" w:eastAsia="仿宋" w:cs="仿宋"/>
                <w:sz w:val="24"/>
                <w:lang w:bidi="ar"/>
              </w:rPr>
              <w:t>2</w:t>
            </w:r>
          </w:p>
        </w:tc>
        <w:tc>
          <w:tcPr>
            <w:tcW w:w="3150" w:type="dxa"/>
            <w:tcBorders>
              <w:top w:val="single" w:color="auto" w:sz="4" w:space="0"/>
              <w:left w:val="nil"/>
              <w:bottom w:val="single" w:color="auto" w:sz="4" w:space="0"/>
              <w:right w:val="single" w:color="auto" w:sz="4" w:space="0"/>
            </w:tcBorders>
            <w:vAlign w:val="center"/>
          </w:tcPr>
          <w:p w14:paraId="5F0BB7C5">
            <w:pPr>
              <w:autoSpaceDE w:val="0"/>
              <w:autoSpaceDN w:val="0"/>
              <w:spacing w:line="400" w:lineRule="exact"/>
              <w:jc w:val="center"/>
              <w:rPr>
                <w:rFonts w:ascii="仿宋" w:hAnsi="仿宋" w:eastAsia="仿宋" w:cs="仿宋"/>
                <w:sz w:val="24"/>
              </w:rPr>
            </w:pPr>
          </w:p>
        </w:tc>
        <w:tc>
          <w:tcPr>
            <w:tcW w:w="4025" w:type="dxa"/>
            <w:tcBorders>
              <w:top w:val="single" w:color="auto" w:sz="4" w:space="0"/>
              <w:left w:val="nil"/>
              <w:bottom w:val="single" w:color="auto" w:sz="4" w:space="0"/>
              <w:right w:val="single" w:color="auto" w:sz="4" w:space="0"/>
            </w:tcBorders>
            <w:vAlign w:val="center"/>
          </w:tcPr>
          <w:p w14:paraId="49AC3EBD">
            <w:pPr>
              <w:autoSpaceDE w:val="0"/>
              <w:autoSpaceDN w:val="0"/>
              <w:spacing w:line="400" w:lineRule="exact"/>
              <w:jc w:val="center"/>
              <w:rPr>
                <w:rFonts w:ascii="仿宋" w:hAnsi="仿宋" w:eastAsia="仿宋" w:cs="仿宋"/>
                <w:sz w:val="24"/>
              </w:rPr>
            </w:pPr>
          </w:p>
        </w:tc>
      </w:tr>
      <w:tr w14:paraId="6F37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75" w:type="dxa"/>
            <w:tcBorders>
              <w:top w:val="single" w:color="auto" w:sz="4" w:space="0"/>
              <w:left w:val="single" w:color="auto" w:sz="4" w:space="0"/>
              <w:bottom w:val="single" w:color="auto" w:sz="4" w:space="0"/>
              <w:right w:val="single" w:color="auto" w:sz="4" w:space="0"/>
            </w:tcBorders>
            <w:vAlign w:val="center"/>
          </w:tcPr>
          <w:p w14:paraId="2312DF11">
            <w:pPr>
              <w:widowControl/>
              <w:autoSpaceDE w:val="0"/>
              <w:autoSpaceDN w:val="0"/>
              <w:spacing w:line="360" w:lineRule="atLeast"/>
              <w:jc w:val="center"/>
              <w:rPr>
                <w:rFonts w:ascii="仿宋" w:hAnsi="仿宋" w:eastAsia="仿宋" w:cs="仿宋"/>
                <w:sz w:val="24"/>
              </w:rPr>
            </w:pPr>
            <w:r>
              <w:rPr>
                <w:rFonts w:hint="eastAsia" w:ascii="仿宋" w:hAnsi="仿宋" w:eastAsia="仿宋" w:cs="仿宋"/>
                <w:sz w:val="24"/>
                <w:lang w:bidi="ar"/>
              </w:rPr>
              <w:t>3</w:t>
            </w:r>
          </w:p>
        </w:tc>
        <w:tc>
          <w:tcPr>
            <w:tcW w:w="3150" w:type="dxa"/>
            <w:tcBorders>
              <w:top w:val="single" w:color="auto" w:sz="4" w:space="0"/>
              <w:left w:val="nil"/>
              <w:bottom w:val="single" w:color="auto" w:sz="4" w:space="0"/>
              <w:right w:val="single" w:color="auto" w:sz="4" w:space="0"/>
            </w:tcBorders>
            <w:vAlign w:val="center"/>
          </w:tcPr>
          <w:p w14:paraId="57A4D535">
            <w:pPr>
              <w:autoSpaceDE w:val="0"/>
              <w:autoSpaceDN w:val="0"/>
              <w:spacing w:line="400" w:lineRule="exact"/>
              <w:jc w:val="center"/>
              <w:rPr>
                <w:rFonts w:ascii="仿宋" w:hAnsi="仿宋" w:eastAsia="仿宋" w:cs="仿宋"/>
                <w:sz w:val="24"/>
              </w:rPr>
            </w:pPr>
          </w:p>
        </w:tc>
        <w:tc>
          <w:tcPr>
            <w:tcW w:w="4025" w:type="dxa"/>
            <w:tcBorders>
              <w:top w:val="single" w:color="auto" w:sz="4" w:space="0"/>
              <w:left w:val="nil"/>
              <w:bottom w:val="single" w:color="auto" w:sz="4" w:space="0"/>
              <w:right w:val="single" w:color="auto" w:sz="4" w:space="0"/>
            </w:tcBorders>
            <w:vAlign w:val="center"/>
          </w:tcPr>
          <w:p w14:paraId="3703EEA8">
            <w:pPr>
              <w:autoSpaceDE w:val="0"/>
              <w:autoSpaceDN w:val="0"/>
              <w:spacing w:line="400" w:lineRule="exact"/>
              <w:jc w:val="center"/>
              <w:rPr>
                <w:rFonts w:ascii="仿宋" w:hAnsi="仿宋" w:eastAsia="仿宋" w:cs="仿宋"/>
                <w:sz w:val="24"/>
              </w:rPr>
            </w:pPr>
          </w:p>
        </w:tc>
      </w:tr>
      <w:tr w14:paraId="4FD4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tcBorders>
              <w:top w:val="single" w:color="auto" w:sz="4" w:space="0"/>
              <w:left w:val="single" w:color="auto" w:sz="4" w:space="0"/>
              <w:bottom w:val="single" w:color="auto" w:sz="4" w:space="0"/>
              <w:right w:val="single" w:color="auto" w:sz="4" w:space="0"/>
            </w:tcBorders>
            <w:vAlign w:val="center"/>
          </w:tcPr>
          <w:p w14:paraId="183270FE">
            <w:pPr>
              <w:widowControl/>
              <w:autoSpaceDE w:val="0"/>
              <w:autoSpaceDN w:val="0"/>
              <w:spacing w:line="360" w:lineRule="atLeast"/>
              <w:jc w:val="center"/>
              <w:rPr>
                <w:rFonts w:ascii="仿宋" w:hAnsi="仿宋" w:eastAsia="仿宋" w:cs="仿宋"/>
                <w:sz w:val="24"/>
              </w:rPr>
            </w:pPr>
            <w:r>
              <w:rPr>
                <w:rFonts w:hint="eastAsia" w:ascii="仿宋" w:hAnsi="仿宋" w:eastAsia="仿宋" w:cs="仿宋"/>
                <w:sz w:val="24"/>
                <w:lang w:bidi="ar"/>
              </w:rPr>
              <w:t>...</w:t>
            </w:r>
          </w:p>
        </w:tc>
        <w:tc>
          <w:tcPr>
            <w:tcW w:w="3150" w:type="dxa"/>
            <w:tcBorders>
              <w:top w:val="single" w:color="auto" w:sz="4" w:space="0"/>
              <w:left w:val="nil"/>
              <w:bottom w:val="single" w:color="auto" w:sz="4" w:space="0"/>
              <w:right w:val="single" w:color="auto" w:sz="4" w:space="0"/>
            </w:tcBorders>
            <w:vAlign w:val="center"/>
          </w:tcPr>
          <w:p w14:paraId="57B492AD">
            <w:pPr>
              <w:autoSpaceDE w:val="0"/>
              <w:autoSpaceDN w:val="0"/>
              <w:spacing w:line="400" w:lineRule="exact"/>
              <w:jc w:val="center"/>
              <w:rPr>
                <w:rFonts w:ascii="仿宋" w:hAnsi="仿宋" w:eastAsia="仿宋" w:cs="仿宋"/>
                <w:sz w:val="24"/>
              </w:rPr>
            </w:pPr>
          </w:p>
        </w:tc>
        <w:tc>
          <w:tcPr>
            <w:tcW w:w="4025" w:type="dxa"/>
            <w:tcBorders>
              <w:top w:val="single" w:color="auto" w:sz="4" w:space="0"/>
              <w:left w:val="nil"/>
              <w:bottom w:val="single" w:color="auto" w:sz="4" w:space="0"/>
              <w:right w:val="single" w:color="auto" w:sz="4" w:space="0"/>
            </w:tcBorders>
            <w:vAlign w:val="center"/>
          </w:tcPr>
          <w:p w14:paraId="2DE2D006">
            <w:pPr>
              <w:autoSpaceDE w:val="0"/>
              <w:autoSpaceDN w:val="0"/>
              <w:spacing w:line="400" w:lineRule="exact"/>
              <w:jc w:val="center"/>
              <w:rPr>
                <w:rFonts w:ascii="仿宋" w:hAnsi="仿宋" w:eastAsia="仿宋" w:cs="仿宋"/>
                <w:sz w:val="24"/>
              </w:rPr>
            </w:pPr>
          </w:p>
        </w:tc>
      </w:tr>
    </w:tbl>
    <w:p w14:paraId="363E33CA">
      <w:pPr>
        <w:pStyle w:val="8"/>
        <w:widowControl w:val="0"/>
        <w:autoSpaceDE w:val="0"/>
        <w:autoSpaceDN w:val="0"/>
        <w:spacing w:before="0" w:beforeAutospacing="0" w:after="0" w:afterAutospacing="0"/>
        <w:rPr>
          <w:rFonts w:ascii="仿宋" w:hAnsi="仿宋" w:eastAsia="仿宋" w:cs="仿宋"/>
          <w:sz w:val="20"/>
          <w:szCs w:val="20"/>
        </w:rPr>
      </w:pPr>
      <w:r>
        <w:rPr>
          <w:rFonts w:hint="eastAsia" w:ascii="仿宋" w:hAnsi="仿宋" w:eastAsia="仿宋" w:cs="仿宋"/>
          <w:sz w:val="20"/>
          <w:szCs w:val="20"/>
          <w:lang w:bidi="ar"/>
        </w:rPr>
        <w:t xml:space="preserve"> </w:t>
      </w:r>
    </w:p>
    <w:p w14:paraId="720C5119">
      <w:pPr>
        <w:pStyle w:val="8"/>
        <w:widowControl w:val="0"/>
        <w:autoSpaceDE w:val="0"/>
        <w:autoSpaceDN w:val="0"/>
        <w:spacing w:before="0" w:beforeAutospacing="0" w:after="0" w:afterAutospacing="0" w:line="360" w:lineRule="auto"/>
        <w:rPr>
          <w:rFonts w:hint="eastAsia" w:ascii="仿宋" w:hAnsi="仿宋" w:eastAsia="仿宋" w:cs="仿宋"/>
          <w:b/>
          <w:sz w:val="24"/>
          <w:szCs w:val="24"/>
          <w:lang w:bidi="ar"/>
        </w:rPr>
      </w:pPr>
    </w:p>
    <w:p w14:paraId="253EDDEF">
      <w:pPr>
        <w:pStyle w:val="8"/>
        <w:widowControl w:val="0"/>
        <w:autoSpaceDE w:val="0"/>
        <w:autoSpaceDN w:val="0"/>
        <w:spacing w:before="0" w:beforeAutospacing="0" w:after="0" w:afterAutospacing="0" w:line="360" w:lineRule="auto"/>
        <w:rPr>
          <w:rFonts w:ascii="仿宋" w:hAnsi="仿宋" w:eastAsia="仿宋" w:cs="仿宋"/>
          <w:bCs/>
          <w:sz w:val="24"/>
          <w:szCs w:val="24"/>
          <w:lang w:bidi="ar"/>
        </w:rPr>
      </w:pPr>
      <w:r>
        <w:rPr>
          <w:rFonts w:hint="eastAsia" w:ascii="仿宋" w:hAnsi="仿宋" w:eastAsia="仿宋" w:cs="仿宋"/>
          <w:b/>
          <w:sz w:val="24"/>
          <w:szCs w:val="24"/>
          <w:lang w:bidi="ar"/>
        </w:rPr>
        <w:t>注：</w:t>
      </w:r>
      <w:r>
        <w:rPr>
          <w:rFonts w:hint="eastAsia" w:ascii="仿宋" w:hAnsi="仿宋" w:eastAsia="仿宋" w:cs="仿宋"/>
          <w:bCs/>
          <w:sz w:val="24"/>
          <w:szCs w:val="24"/>
          <w:lang w:eastAsia="zh-CN" w:bidi="ar"/>
        </w:rPr>
        <w:t>供应商</w:t>
      </w:r>
      <w:r>
        <w:rPr>
          <w:rFonts w:hint="eastAsia" w:ascii="仿宋" w:hAnsi="仿宋" w:eastAsia="仿宋" w:cs="仿宋"/>
          <w:bCs/>
          <w:sz w:val="24"/>
          <w:szCs w:val="24"/>
          <w:lang w:bidi="ar"/>
        </w:rPr>
        <w:t>须按</w:t>
      </w:r>
      <w:r>
        <w:rPr>
          <w:rFonts w:hint="eastAsia" w:ascii="仿宋" w:hAnsi="仿宋" w:eastAsia="仿宋" w:cs="仿宋"/>
          <w:bCs/>
          <w:sz w:val="24"/>
          <w:szCs w:val="24"/>
          <w:lang w:eastAsia="zh-CN" w:bidi="ar"/>
        </w:rPr>
        <w:t>询价文件“四、</w:t>
      </w:r>
      <w:r>
        <w:rPr>
          <w:rFonts w:hint="eastAsia" w:ascii="仿宋" w:hAnsi="仿宋" w:eastAsia="仿宋" w:cs="仿宋"/>
          <w:bCs/>
          <w:sz w:val="24"/>
          <w:szCs w:val="24"/>
          <w:lang w:bidi="ar"/>
        </w:rPr>
        <w:t>商务要求</w:t>
      </w:r>
      <w:r>
        <w:rPr>
          <w:rFonts w:hint="eastAsia" w:ascii="仿宋" w:hAnsi="仿宋" w:eastAsia="仿宋" w:cs="仿宋"/>
          <w:bCs/>
          <w:sz w:val="24"/>
          <w:szCs w:val="24"/>
          <w:lang w:eastAsia="zh-CN" w:bidi="ar"/>
        </w:rPr>
        <w:t>”</w:t>
      </w:r>
      <w:r>
        <w:rPr>
          <w:rFonts w:hint="eastAsia" w:ascii="仿宋" w:hAnsi="仿宋" w:eastAsia="仿宋" w:cs="仿宋"/>
          <w:bCs/>
          <w:sz w:val="24"/>
          <w:szCs w:val="24"/>
          <w:lang w:bidi="ar"/>
        </w:rPr>
        <w:t>的内容逐一进行响应。</w:t>
      </w:r>
      <w:r>
        <w:rPr>
          <w:rFonts w:hint="eastAsia" w:ascii="仿宋" w:hAnsi="仿宋" w:eastAsia="仿宋" w:cs="仿宋"/>
          <w:bCs/>
          <w:sz w:val="24"/>
          <w:szCs w:val="24"/>
          <w:lang w:eastAsia="zh-CN" w:bidi="ar"/>
        </w:rPr>
        <w:t>供应商</w:t>
      </w:r>
      <w:r>
        <w:rPr>
          <w:rFonts w:hint="eastAsia" w:ascii="仿宋" w:hAnsi="仿宋" w:eastAsia="仿宋" w:cs="仿宋"/>
          <w:bCs/>
          <w:sz w:val="24"/>
          <w:szCs w:val="24"/>
          <w:lang w:bidi="ar"/>
        </w:rPr>
        <w:t>必须据实填写，不得虚假应答,否则将取消其成交资格。</w:t>
      </w:r>
      <w:r>
        <w:rPr>
          <w:rFonts w:hint="eastAsia" w:ascii="仿宋" w:hAnsi="仿宋" w:eastAsia="仿宋" w:cs="仿宋"/>
          <w:b/>
          <w:sz w:val="24"/>
          <w:szCs w:val="24"/>
          <w:lang w:bidi="ar"/>
        </w:rPr>
        <w:t>要求提供承诺函或证明材料的条款，以</w:t>
      </w:r>
      <w:r>
        <w:rPr>
          <w:rFonts w:hint="eastAsia" w:ascii="仿宋" w:hAnsi="仿宋" w:eastAsia="仿宋" w:cs="仿宋"/>
          <w:b/>
          <w:sz w:val="24"/>
          <w:szCs w:val="24"/>
          <w:lang w:eastAsia="zh-CN" w:bidi="ar"/>
        </w:rPr>
        <w:t>供应商</w:t>
      </w:r>
      <w:r>
        <w:rPr>
          <w:rFonts w:hint="eastAsia" w:ascii="仿宋" w:hAnsi="仿宋" w:eastAsia="仿宋" w:cs="仿宋"/>
          <w:b/>
          <w:sz w:val="24"/>
          <w:szCs w:val="24"/>
          <w:lang w:bidi="ar"/>
        </w:rPr>
        <w:t>提供的承诺函或证明材料为准，如未提供则不予认可</w:t>
      </w:r>
      <w:r>
        <w:rPr>
          <w:rFonts w:hint="eastAsia" w:ascii="仿宋" w:hAnsi="仿宋" w:eastAsia="仿宋" w:cs="仿宋"/>
          <w:bCs/>
          <w:sz w:val="24"/>
          <w:szCs w:val="24"/>
          <w:lang w:bidi="ar"/>
        </w:rPr>
        <w:t>。</w:t>
      </w:r>
    </w:p>
    <w:p w14:paraId="0DBD2D17">
      <w:pPr>
        <w:adjustRightInd w:val="0"/>
        <w:spacing w:line="400" w:lineRule="exact"/>
        <w:ind w:firstLine="480" w:firstLineChars="200"/>
        <w:jc w:val="left"/>
        <w:rPr>
          <w:rFonts w:ascii="仿宋" w:hAnsi="仿宋" w:eastAsia="仿宋" w:cs="仿宋"/>
          <w:sz w:val="24"/>
        </w:rPr>
      </w:pPr>
    </w:p>
    <w:p w14:paraId="4BA2EDF0">
      <w:pPr>
        <w:adjustRightInd w:val="0"/>
        <w:spacing w:line="400" w:lineRule="exact"/>
        <w:ind w:firstLine="480" w:firstLineChars="200"/>
        <w:jc w:val="left"/>
        <w:rPr>
          <w:rFonts w:ascii="仿宋" w:hAnsi="仿宋" w:eastAsia="仿宋" w:cs="仿宋"/>
          <w:sz w:val="24"/>
        </w:rPr>
      </w:pPr>
    </w:p>
    <w:p w14:paraId="02CBBC8F">
      <w:pPr>
        <w:adjustRightInd w:val="0"/>
        <w:spacing w:line="400" w:lineRule="exact"/>
        <w:ind w:firstLine="480" w:firstLineChars="200"/>
        <w:jc w:val="left"/>
        <w:rPr>
          <w:rFonts w:ascii="仿宋" w:hAnsi="仿宋" w:eastAsia="仿宋" w:cs="仿宋"/>
          <w:sz w:val="24"/>
        </w:rPr>
      </w:pPr>
    </w:p>
    <w:p w14:paraId="549D2586">
      <w:pPr>
        <w:adjustRightInd w:val="0"/>
        <w:spacing w:line="400" w:lineRule="exact"/>
        <w:ind w:firstLine="480" w:firstLineChars="200"/>
        <w:jc w:val="left"/>
        <w:rPr>
          <w:rFonts w:ascii="仿宋" w:hAnsi="仿宋" w:eastAsia="仿宋" w:cs="仿宋"/>
          <w:sz w:val="24"/>
        </w:rPr>
      </w:pPr>
      <w:r>
        <w:rPr>
          <w:rFonts w:hint="eastAsia" w:ascii="仿宋" w:hAnsi="仿宋" w:eastAsia="仿宋" w:cs="仿宋"/>
          <w:sz w:val="24"/>
          <w:lang w:eastAsia="zh-CN"/>
        </w:rPr>
        <w:t>供应商</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（单位公章）</w:t>
      </w:r>
    </w:p>
    <w:p w14:paraId="452A04D4">
      <w:pPr>
        <w:adjustRightInd w:val="0"/>
        <w:spacing w:line="400" w:lineRule="exact"/>
        <w:ind w:firstLine="480" w:firstLineChars="200"/>
        <w:jc w:val="left"/>
        <w:rPr>
          <w:rFonts w:hint="eastAsia" w:ascii="仿宋" w:hAnsi="仿宋" w:eastAsia="仿宋" w:cs="仿宋"/>
          <w:bCs/>
          <w:sz w:val="24"/>
        </w:rPr>
      </w:pPr>
    </w:p>
    <w:p w14:paraId="25C49A66">
      <w:pPr>
        <w:adjustRightInd w:val="0"/>
        <w:spacing w:line="400" w:lineRule="exact"/>
        <w:ind w:firstLine="480" w:firstLineChars="200"/>
        <w:jc w:val="left"/>
        <w:rPr>
          <w:rFonts w:ascii="仿宋" w:hAnsi="仿宋" w:eastAsia="仿宋" w:cs="仿宋"/>
          <w:bCs/>
          <w:sz w:val="24"/>
        </w:rPr>
      </w:pPr>
      <w:r>
        <w:rPr>
          <w:rFonts w:hint="eastAsia" w:ascii="仿宋" w:hAnsi="仿宋" w:eastAsia="仿宋" w:cs="仿宋"/>
          <w:bCs/>
          <w:sz w:val="24"/>
        </w:rPr>
        <w:t xml:space="preserve">法定代表人或授权代表（签字或盖章）： </w:t>
      </w:r>
    </w:p>
    <w:p w14:paraId="49AD8EAA">
      <w:pPr>
        <w:adjustRightInd w:val="0"/>
        <w:spacing w:line="400" w:lineRule="exact"/>
        <w:ind w:firstLine="540" w:firstLineChars="225"/>
        <w:jc w:val="left"/>
        <w:rPr>
          <w:rFonts w:hint="eastAsia" w:ascii="仿宋" w:hAnsi="仿宋" w:eastAsia="仿宋" w:cs="仿宋"/>
          <w:bCs/>
          <w:sz w:val="24"/>
        </w:rPr>
      </w:pPr>
    </w:p>
    <w:p w14:paraId="2E44A2DD">
      <w:pPr>
        <w:adjustRightInd w:val="0"/>
        <w:spacing w:line="400" w:lineRule="exact"/>
        <w:ind w:firstLine="540" w:firstLineChars="225"/>
        <w:jc w:val="left"/>
        <w:rPr>
          <w:rFonts w:ascii="仿宋" w:hAnsi="仿宋" w:eastAsia="仿宋" w:cs="仿宋"/>
          <w:bCs/>
          <w:sz w:val="24"/>
        </w:rPr>
      </w:pPr>
      <w:r>
        <w:rPr>
          <w:rFonts w:hint="eastAsia" w:ascii="仿宋" w:hAnsi="仿宋" w:eastAsia="仿宋" w:cs="仿宋"/>
          <w:bCs/>
          <w:sz w:val="24"/>
        </w:rPr>
        <w:t>日  期</w:t>
      </w:r>
      <w:r>
        <w:rPr>
          <w:rFonts w:hint="eastAsia" w:ascii="仿宋" w:hAnsi="仿宋" w:eastAsia="仿宋" w:cs="仿宋"/>
          <w:sz w:val="24"/>
        </w:rPr>
        <w:t>：</w:t>
      </w:r>
      <w:r>
        <w:rPr>
          <w:rFonts w:hint="eastAsia" w:ascii="仿宋" w:hAnsi="仿宋" w:eastAsia="仿宋" w:cs="仿宋"/>
          <w:bCs/>
          <w:sz w:val="24"/>
        </w:rPr>
        <w:t xml:space="preserve">    年</w:t>
      </w:r>
      <w:r>
        <w:rPr>
          <w:rFonts w:hint="eastAsia" w:ascii="仿宋" w:hAnsi="仿宋" w:eastAsia="仿宋" w:cs="仿宋"/>
          <w:bCs/>
          <w:sz w:val="24"/>
          <w:lang w:val="en-US" w:eastAsia="zh-CN"/>
        </w:rPr>
        <w:t xml:space="preserve">  </w:t>
      </w:r>
      <w:r>
        <w:rPr>
          <w:rFonts w:hint="eastAsia" w:ascii="仿宋" w:hAnsi="仿宋" w:eastAsia="仿宋" w:cs="仿宋"/>
          <w:bCs/>
          <w:sz w:val="24"/>
        </w:rPr>
        <w:t xml:space="preserve"> 月</w:t>
      </w:r>
      <w:r>
        <w:rPr>
          <w:rFonts w:hint="eastAsia" w:ascii="仿宋" w:hAnsi="仿宋" w:eastAsia="仿宋" w:cs="仿宋"/>
          <w:bCs/>
          <w:sz w:val="24"/>
          <w:lang w:val="en-US" w:eastAsia="zh-CN"/>
        </w:rPr>
        <w:t xml:space="preserve">  </w:t>
      </w:r>
      <w:r>
        <w:rPr>
          <w:rFonts w:hint="eastAsia" w:ascii="仿宋" w:hAnsi="仿宋" w:eastAsia="仿宋" w:cs="仿宋"/>
          <w:bCs/>
          <w:sz w:val="24"/>
        </w:rPr>
        <w:t xml:space="preserve"> 日</w:t>
      </w:r>
    </w:p>
    <w:p w14:paraId="7DEC4294">
      <w:pPr>
        <w:wordWrap/>
        <w:spacing w:line="440" w:lineRule="exact"/>
        <w:ind w:firstLine="642"/>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jU0MGNhMmY3NTJhODkyYTljM2FkY2NjMDZiNmYifQ=="/>
  </w:docVars>
  <w:rsids>
    <w:rsidRoot w:val="00E25D5E"/>
    <w:rsid w:val="0002787C"/>
    <w:rsid w:val="00033615"/>
    <w:rsid w:val="00035735"/>
    <w:rsid w:val="00064454"/>
    <w:rsid w:val="000C1440"/>
    <w:rsid w:val="000D779D"/>
    <w:rsid w:val="000F4500"/>
    <w:rsid w:val="000F6641"/>
    <w:rsid w:val="001268E0"/>
    <w:rsid w:val="001333EB"/>
    <w:rsid w:val="001377CA"/>
    <w:rsid w:val="001619C7"/>
    <w:rsid w:val="00193E6E"/>
    <w:rsid w:val="001B4104"/>
    <w:rsid w:val="001E5759"/>
    <w:rsid w:val="002345A1"/>
    <w:rsid w:val="0024478A"/>
    <w:rsid w:val="0027302A"/>
    <w:rsid w:val="00284D97"/>
    <w:rsid w:val="002C4BE9"/>
    <w:rsid w:val="002F16D4"/>
    <w:rsid w:val="003151E4"/>
    <w:rsid w:val="00334376"/>
    <w:rsid w:val="00366542"/>
    <w:rsid w:val="00377686"/>
    <w:rsid w:val="003C1D44"/>
    <w:rsid w:val="003F2775"/>
    <w:rsid w:val="003F50EC"/>
    <w:rsid w:val="00426682"/>
    <w:rsid w:val="00426B7C"/>
    <w:rsid w:val="0046063E"/>
    <w:rsid w:val="00473E61"/>
    <w:rsid w:val="004856AB"/>
    <w:rsid w:val="004917E2"/>
    <w:rsid w:val="00494C5F"/>
    <w:rsid w:val="004A0FE1"/>
    <w:rsid w:val="004C60B4"/>
    <w:rsid w:val="004D4B01"/>
    <w:rsid w:val="004E0ED3"/>
    <w:rsid w:val="004F5C3A"/>
    <w:rsid w:val="00503423"/>
    <w:rsid w:val="00514922"/>
    <w:rsid w:val="00523B8B"/>
    <w:rsid w:val="00564B4B"/>
    <w:rsid w:val="005C3A04"/>
    <w:rsid w:val="005C75D6"/>
    <w:rsid w:val="005C7E24"/>
    <w:rsid w:val="005E3AA2"/>
    <w:rsid w:val="00605EAE"/>
    <w:rsid w:val="006741AB"/>
    <w:rsid w:val="00675839"/>
    <w:rsid w:val="006C0E95"/>
    <w:rsid w:val="006D01CF"/>
    <w:rsid w:val="006F34E9"/>
    <w:rsid w:val="00711904"/>
    <w:rsid w:val="00731554"/>
    <w:rsid w:val="007375BB"/>
    <w:rsid w:val="00743C4A"/>
    <w:rsid w:val="0075455E"/>
    <w:rsid w:val="0076767C"/>
    <w:rsid w:val="007828AE"/>
    <w:rsid w:val="007C7FB9"/>
    <w:rsid w:val="007D1FB4"/>
    <w:rsid w:val="007D7B88"/>
    <w:rsid w:val="007F2AD0"/>
    <w:rsid w:val="0080667C"/>
    <w:rsid w:val="00813468"/>
    <w:rsid w:val="008412ED"/>
    <w:rsid w:val="00851F99"/>
    <w:rsid w:val="008520E5"/>
    <w:rsid w:val="00857CD1"/>
    <w:rsid w:val="0086731F"/>
    <w:rsid w:val="0087518C"/>
    <w:rsid w:val="00877E05"/>
    <w:rsid w:val="008935E0"/>
    <w:rsid w:val="008960C8"/>
    <w:rsid w:val="008A0934"/>
    <w:rsid w:val="00906F9A"/>
    <w:rsid w:val="009123E8"/>
    <w:rsid w:val="00913375"/>
    <w:rsid w:val="00926D62"/>
    <w:rsid w:val="009360EE"/>
    <w:rsid w:val="009B7AB0"/>
    <w:rsid w:val="00A10F10"/>
    <w:rsid w:val="00A24F75"/>
    <w:rsid w:val="00A66453"/>
    <w:rsid w:val="00A75AEA"/>
    <w:rsid w:val="00A96E28"/>
    <w:rsid w:val="00AB5B7B"/>
    <w:rsid w:val="00AB6897"/>
    <w:rsid w:val="00AB7EFB"/>
    <w:rsid w:val="00AB7FE3"/>
    <w:rsid w:val="00AC0FA1"/>
    <w:rsid w:val="00AF25A1"/>
    <w:rsid w:val="00B21745"/>
    <w:rsid w:val="00B42072"/>
    <w:rsid w:val="00B92FD9"/>
    <w:rsid w:val="00B93A43"/>
    <w:rsid w:val="00BF43DF"/>
    <w:rsid w:val="00C00E53"/>
    <w:rsid w:val="00C1747C"/>
    <w:rsid w:val="00C541DE"/>
    <w:rsid w:val="00C60730"/>
    <w:rsid w:val="00CE323A"/>
    <w:rsid w:val="00CE4814"/>
    <w:rsid w:val="00CF5EEA"/>
    <w:rsid w:val="00D007D2"/>
    <w:rsid w:val="00D07A11"/>
    <w:rsid w:val="00DA6889"/>
    <w:rsid w:val="00E014D4"/>
    <w:rsid w:val="00E14286"/>
    <w:rsid w:val="00E20107"/>
    <w:rsid w:val="00E24386"/>
    <w:rsid w:val="00E25D5E"/>
    <w:rsid w:val="00E36B8A"/>
    <w:rsid w:val="00EA2621"/>
    <w:rsid w:val="00EA722D"/>
    <w:rsid w:val="00ED348C"/>
    <w:rsid w:val="00EF4F34"/>
    <w:rsid w:val="00F061CE"/>
    <w:rsid w:val="00F17B2B"/>
    <w:rsid w:val="00F22EB3"/>
    <w:rsid w:val="00F25E21"/>
    <w:rsid w:val="00F53170"/>
    <w:rsid w:val="00F907B2"/>
    <w:rsid w:val="00F92DF9"/>
    <w:rsid w:val="047C55AA"/>
    <w:rsid w:val="06F0354D"/>
    <w:rsid w:val="074B1659"/>
    <w:rsid w:val="09E52C7A"/>
    <w:rsid w:val="0DA8533A"/>
    <w:rsid w:val="120668A8"/>
    <w:rsid w:val="12F9640D"/>
    <w:rsid w:val="14A437D3"/>
    <w:rsid w:val="17D41E8B"/>
    <w:rsid w:val="1AE86E59"/>
    <w:rsid w:val="1D9200B5"/>
    <w:rsid w:val="1E7246C4"/>
    <w:rsid w:val="21B06F0E"/>
    <w:rsid w:val="23A8775D"/>
    <w:rsid w:val="24583A65"/>
    <w:rsid w:val="264A67AF"/>
    <w:rsid w:val="297178E4"/>
    <w:rsid w:val="29D27F48"/>
    <w:rsid w:val="2A997AF3"/>
    <w:rsid w:val="2F8265F1"/>
    <w:rsid w:val="31D44683"/>
    <w:rsid w:val="32B04BD0"/>
    <w:rsid w:val="331D3D1E"/>
    <w:rsid w:val="33270B3D"/>
    <w:rsid w:val="33813C08"/>
    <w:rsid w:val="34C8337F"/>
    <w:rsid w:val="35C827DC"/>
    <w:rsid w:val="366C5909"/>
    <w:rsid w:val="3A3E7472"/>
    <w:rsid w:val="3AF47336"/>
    <w:rsid w:val="3BC72CC8"/>
    <w:rsid w:val="3CE5695B"/>
    <w:rsid w:val="3DB942AC"/>
    <w:rsid w:val="3E6E73FF"/>
    <w:rsid w:val="434B176E"/>
    <w:rsid w:val="44AA7A24"/>
    <w:rsid w:val="468A6DA0"/>
    <w:rsid w:val="47B33A3E"/>
    <w:rsid w:val="48305851"/>
    <w:rsid w:val="487970CD"/>
    <w:rsid w:val="4B874579"/>
    <w:rsid w:val="4BE9305A"/>
    <w:rsid w:val="4E0A5DD8"/>
    <w:rsid w:val="4ED9471E"/>
    <w:rsid w:val="4EF968E2"/>
    <w:rsid w:val="4FF72EBD"/>
    <w:rsid w:val="52027064"/>
    <w:rsid w:val="524F268F"/>
    <w:rsid w:val="540F2764"/>
    <w:rsid w:val="59742572"/>
    <w:rsid w:val="5ADA24C2"/>
    <w:rsid w:val="5B563C94"/>
    <w:rsid w:val="5C7F2D1A"/>
    <w:rsid w:val="5E0F7E5F"/>
    <w:rsid w:val="5E2B516D"/>
    <w:rsid w:val="62BA1869"/>
    <w:rsid w:val="633F62BB"/>
    <w:rsid w:val="64133E2F"/>
    <w:rsid w:val="682D496A"/>
    <w:rsid w:val="6BE16F41"/>
    <w:rsid w:val="6D621B82"/>
    <w:rsid w:val="6E87203F"/>
    <w:rsid w:val="720576D1"/>
    <w:rsid w:val="73C578E5"/>
    <w:rsid w:val="73D94D34"/>
    <w:rsid w:val="745069EB"/>
    <w:rsid w:val="74725280"/>
    <w:rsid w:val="755E0CAD"/>
    <w:rsid w:val="7A7414D3"/>
    <w:rsid w:val="7A915D10"/>
    <w:rsid w:val="7B0F1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qFormat/>
    <w:uiPriority w:val="1"/>
    <w:pPr>
      <w:ind w:right="279"/>
      <w:jc w:val="center"/>
      <w:outlineLvl w:val="1"/>
    </w:pPr>
    <w:rPr>
      <w:rFonts w:ascii="宋体" w:hAnsi="宋体" w:eastAsia="仿宋" w:cs="宋体"/>
      <w:b/>
      <w:sz w:val="28"/>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rPr>
  </w:style>
  <w:style w:type="paragraph" w:styleId="3">
    <w:name w:val="Body Text First Indent"/>
    <w:basedOn w:val="2"/>
    <w:next w:val="1"/>
    <w:unhideWhenUsed/>
    <w:qFormat/>
    <w:uiPriority w:val="99"/>
    <w:pPr>
      <w:ind w:firstLine="420" w:firstLineChars="100"/>
    </w:p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next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customStyle="1" w:styleId="13">
    <w:name w:val="批注框文本 Char"/>
    <w:link w:val="5"/>
    <w:qFormat/>
    <w:uiPriority w:val="0"/>
    <w:rPr>
      <w:kern w:val="2"/>
      <w:sz w:val="18"/>
      <w:szCs w:val="18"/>
    </w:rPr>
  </w:style>
  <w:style w:type="character" w:customStyle="1" w:styleId="14">
    <w:name w:val="页脚 Char"/>
    <w:link w:val="6"/>
    <w:qFormat/>
    <w:uiPriority w:val="0"/>
    <w:rPr>
      <w:kern w:val="2"/>
      <w:sz w:val="18"/>
      <w:szCs w:val="18"/>
    </w:rPr>
  </w:style>
  <w:style w:type="character" w:customStyle="1" w:styleId="15">
    <w:name w:val="页眉 Char"/>
    <w:link w:val="7"/>
    <w:qFormat/>
    <w:uiPriority w:val="0"/>
    <w:rPr>
      <w:kern w:val="2"/>
      <w:sz w:val="18"/>
      <w:szCs w:val="18"/>
    </w:rPr>
  </w:style>
  <w:style w:type="paragraph" w:customStyle="1" w:styleId="16">
    <w:name w:val="列出段落1"/>
    <w:basedOn w:val="1"/>
    <w:qFormat/>
    <w:uiPriority w:val="34"/>
    <w:pPr>
      <w:ind w:firstLine="420" w:firstLineChars="200"/>
    </w:pPr>
    <w:rPr>
      <w:rFonts w:ascii="Times New Roman" w:hAnsi="Times New Roman"/>
    </w:rPr>
  </w:style>
  <w:style w:type="paragraph" w:customStyle="1" w:styleId="17">
    <w:name w:val="Body text|1"/>
    <w:basedOn w:val="1"/>
    <w:qFormat/>
    <w:uiPriority w:val="0"/>
    <w:pPr>
      <w:widowControl w:val="0"/>
      <w:shd w:val="clear" w:color="auto" w:fill="auto"/>
      <w:spacing w:line="434" w:lineRule="auto"/>
      <w:ind w:firstLine="400"/>
    </w:pPr>
    <w:rPr>
      <w:rFonts w:ascii="宋体" w:hAnsi="宋体" w:eastAsia="宋体" w:cs="宋体"/>
      <w:sz w:val="22"/>
      <w:szCs w:val="22"/>
      <w:u w:val="none"/>
      <w:shd w:val="clear" w:color="auto" w:fill="auto"/>
      <w:lang w:val="zh-TW" w:eastAsia="zh-TW" w:bidi="zh-TW"/>
    </w:rPr>
  </w:style>
  <w:style w:type="character" w:customStyle="1" w:styleId="18">
    <w:name w:val="NormalCharacter"/>
    <w:semiHidden/>
    <w:qFormat/>
    <w:uiPriority w:val="0"/>
    <w:rPr>
      <w:kern w:val="2"/>
      <w:sz w:val="21"/>
      <w:szCs w:val="24"/>
      <w:lang w:val="en-US" w:eastAsia="zh-CN" w:bidi="ar-SA"/>
    </w:rPr>
  </w:style>
  <w:style w:type="paragraph" w:customStyle="1" w:styleId="19">
    <w:name w:val="Body text|3"/>
    <w:basedOn w:val="1"/>
    <w:qFormat/>
    <w:uiPriority w:val="0"/>
    <w:pPr>
      <w:spacing w:after="70" w:line="416" w:lineRule="exact"/>
    </w:pPr>
    <w:rPr>
      <w:lang w:val="zh-TW" w:eastAsia="zh-TW" w:bidi="zh-TW"/>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http://www.deepbbs.org</Company>
  <Pages>12</Pages>
  <Words>4552</Words>
  <Characters>4768</Characters>
  <Lines>6</Lines>
  <Paragraphs>1</Paragraphs>
  <TotalTime>9</TotalTime>
  <ScaleCrop>false</ScaleCrop>
  <LinksUpToDate>false</LinksUpToDate>
  <CharactersWithSpaces>4772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2025-03-17T09:10:00Z</dcterms:created>
  <dc:creator>Administrator</dc:creator>
  <cp:lastModifiedBy>谭群</cp:lastModifiedBy>
  <cp:lastPrinted>2025-03-18T01:17:00Z</cp:lastPrinted>
  <dcterms:modified xsi:type="dcterms:W3CDTF">2026-07-13T08:46:47Z</dcterms:modified>
  <dc:title>内江市第一人民医院2019年春节</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C54EB1C6B54D40E6A449C88FD4C6E22A_13</vt:lpwstr>
  </property>
  <property fmtid="{D5CDD505-2E9C-101B-9397-08002B2CF9AE}" pid="4" name="KSOTemplateDocerSaveRecord">
    <vt:lpwstr>eyJoZGlkIjoiNWVjODY3MTM2NTFiNzVjN2Q0N2I0ZjkzMGY5MmM0ODYiLCJ1c2VySWQiOiIxNjY1NzI0OTUwIn0=</vt:lpwstr>
  </property>
</Properties>
</file>