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F691E">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6A1B090">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260489B5">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3"/>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32"/>
        <w:gridCol w:w="790"/>
        <w:gridCol w:w="1400"/>
        <w:gridCol w:w="1369"/>
        <w:gridCol w:w="1069"/>
        <w:gridCol w:w="1177"/>
        <w:gridCol w:w="1756"/>
      </w:tblGrid>
      <w:tr w14:paraId="54D5F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3691B150">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包号</w:t>
            </w:r>
          </w:p>
        </w:tc>
        <w:tc>
          <w:tcPr>
            <w:tcW w:w="312" w:type="pct"/>
            <w:vAlign w:val="center"/>
          </w:tcPr>
          <w:p w14:paraId="111881A7">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编号</w:t>
            </w:r>
          </w:p>
        </w:tc>
        <w:tc>
          <w:tcPr>
            <w:tcW w:w="463" w:type="pct"/>
            <w:vAlign w:val="center"/>
          </w:tcPr>
          <w:p w14:paraId="2968275D">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部门</w:t>
            </w:r>
          </w:p>
        </w:tc>
        <w:tc>
          <w:tcPr>
            <w:tcW w:w="821" w:type="pct"/>
            <w:vAlign w:val="center"/>
          </w:tcPr>
          <w:p w14:paraId="1582BBD2">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标的名称</w:t>
            </w:r>
          </w:p>
        </w:tc>
        <w:tc>
          <w:tcPr>
            <w:tcW w:w="803" w:type="pct"/>
            <w:vAlign w:val="center"/>
          </w:tcPr>
          <w:p w14:paraId="34E9CD6B">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highlight w:val="none"/>
              </w:rPr>
              <w:t>★</w:t>
            </w:r>
            <w:r>
              <w:rPr>
                <w:rFonts w:hint="eastAsia" w:ascii="仿宋" w:hAnsi="仿宋" w:eastAsia="仿宋" w:cs="仿宋"/>
                <w:sz w:val="21"/>
                <w:szCs w:val="21"/>
                <w:highlight w:val="none"/>
                <w:lang w:val="en-US" w:eastAsia="zh-CN"/>
              </w:rPr>
              <w:t>单价最高限价（元）</w:t>
            </w:r>
          </w:p>
        </w:tc>
        <w:tc>
          <w:tcPr>
            <w:tcW w:w="627" w:type="pct"/>
            <w:vAlign w:val="center"/>
          </w:tcPr>
          <w:p w14:paraId="7FB521A8">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预计数量</w:t>
            </w:r>
          </w:p>
        </w:tc>
        <w:tc>
          <w:tcPr>
            <w:tcW w:w="690" w:type="pct"/>
            <w:vAlign w:val="center"/>
          </w:tcPr>
          <w:p w14:paraId="072BFA84">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计量单位</w:t>
            </w:r>
          </w:p>
        </w:tc>
        <w:tc>
          <w:tcPr>
            <w:tcW w:w="1030" w:type="pct"/>
            <w:vAlign w:val="center"/>
          </w:tcPr>
          <w:p w14:paraId="659A58D7">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功能和质量要求</w:t>
            </w:r>
          </w:p>
        </w:tc>
      </w:tr>
      <w:tr w14:paraId="1A34F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restart"/>
            <w:vAlign w:val="center"/>
          </w:tcPr>
          <w:p w14:paraId="6ECCD1D1">
            <w:pPr>
              <w:pStyle w:val="6"/>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312" w:type="pct"/>
            <w:vAlign w:val="center"/>
          </w:tcPr>
          <w:p w14:paraId="09BF2301">
            <w:pPr>
              <w:keepNext w:val="0"/>
              <w:keepLines w:val="0"/>
              <w:widowControl/>
              <w:suppressLineNumbers w:val="0"/>
              <w:jc w:val="center"/>
              <w:textAlignment w:val="center"/>
              <w:rPr>
                <w:rFonts w:hint="eastAsia" w:ascii="仿宋" w:hAnsi="仿宋" w:eastAsia="仿宋" w:cs="仿宋"/>
                <w:sz w:val="22"/>
                <w:szCs w:val="22"/>
                <w:highlight w:val="none"/>
                <w:lang w:val="en-US" w:eastAsia="zh-CN"/>
              </w:rPr>
            </w:pPr>
            <w:r>
              <w:rPr>
                <w:rFonts w:hint="eastAsia" w:ascii="仿宋" w:hAnsi="仿宋" w:eastAsia="仿宋" w:cs="仿宋"/>
                <w:i w:val="0"/>
                <w:iCs w:val="0"/>
                <w:color w:val="000000"/>
                <w:kern w:val="0"/>
                <w:sz w:val="21"/>
                <w:szCs w:val="21"/>
                <w:highlight w:val="none"/>
                <w:u w:val="none"/>
                <w:lang w:val="en-US" w:eastAsia="zh-CN" w:bidi="ar"/>
              </w:rPr>
              <w:t>1</w:t>
            </w:r>
          </w:p>
        </w:tc>
        <w:tc>
          <w:tcPr>
            <w:tcW w:w="463" w:type="pct"/>
            <w:vMerge w:val="restart"/>
            <w:vAlign w:val="center"/>
          </w:tcPr>
          <w:p w14:paraId="2B2D1A7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放射</w:t>
            </w:r>
          </w:p>
        </w:tc>
        <w:tc>
          <w:tcPr>
            <w:tcW w:w="821" w:type="pct"/>
            <w:vAlign w:val="center"/>
          </w:tcPr>
          <w:p w14:paraId="40FE8539">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109DFFF8">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6309AD8B">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70</w:t>
            </w:r>
          </w:p>
        </w:tc>
        <w:tc>
          <w:tcPr>
            <w:tcW w:w="690" w:type="pct"/>
            <w:vAlign w:val="center"/>
          </w:tcPr>
          <w:p w14:paraId="390EB729">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610FBF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3C13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6E6FA290">
            <w:pPr>
              <w:pStyle w:val="6"/>
              <w:jc w:val="center"/>
              <w:rPr>
                <w:rFonts w:hint="eastAsia" w:ascii="仿宋" w:hAnsi="仿宋" w:eastAsia="仿宋" w:cs="仿宋"/>
                <w:sz w:val="22"/>
                <w:szCs w:val="22"/>
                <w:highlight w:val="none"/>
                <w:lang w:val="en-US" w:eastAsia="zh-CN"/>
              </w:rPr>
            </w:pPr>
          </w:p>
        </w:tc>
        <w:tc>
          <w:tcPr>
            <w:tcW w:w="312" w:type="pct"/>
            <w:vAlign w:val="center"/>
          </w:tcPr>
          <w:p w14:paraId="24563DC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463" w:type="pct"/>
            <w:vMerge w:val="continue"/>
            <w:vAlign w:val="center"/>
          </w:tcPr>
          <w:p w14:paraId="4FF0A8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27C4A8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69013B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05F6CBB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340</w:t>
            </w:r>
          </w:p>
        </w:tc>
        <w:tc>
          <w:tcPr>
            <w:tcW w:w="690" w:type="pct"/>
            <w:vAlign w:val="center"/>
          </w:tcPr>
          <w:p w14:paraId="17A3CBF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38FE62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689D3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EF55EFA">
            <w:pPr>
              <w:pStyle w:val="6"/>
              <w:jc w:val="center"/>
              <w:rPr>
                <w:rFonts w:hint="eastAsia" w:ascii="仿宋" w:hAnsi="仿宋" w:eastAsia="仿宋" w:cs="仿宋"/>
                <w:sz w:val="22"/>
                <w:szCs w:val="22"/>
                <w:highlight w:val="none"/>
                <w:lang w:val="en-US" w:eastAsia="zh-CN"/>
              </w:rPr>
            </w:pPr>
          </w:p>
        </w:tc>
        <w:tc>
          <w:tcPr>
            <w:tcW w:w="312" w:type="pct"/>
            <w:vAlign w:val="center"/>
          </w:tcPr>
          <w:p w14:paraId="2C63002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463" w:type="pct"/>
            <w:vMerge w:val="continue"/>
            <w:vAlign w:val="center"/>
          </w:tcPr>
          <w:p w14:paraId="26716BE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583B7E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1D8632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275C004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690" w:type="pct"/>
            <w:vAlign w:val="center"/>
          </w:tcPr>
          <w:p w14:paraId="38B138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C971C6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04B42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98266A0">
            <w:pPr>
              <w:pStyle w:val="6"/>
              <w:jc w:val="center"/>
              <w:rPr>
                <w:rFonts w:hint="eastAsia" w:ascii="仿宋" w:hAnsi="仿宋" w:eastAsia="仿宋" w:cs="仿宋"/>
                <w:sz w:val="22"/>
                <w:szCs w:val="22"/>
                <w:highlight w:val="none"/>
                <w:lang w:val="en-US" w:eastAsia="zh-CN"/>
              </w:rPr>
            </w:pPr>
          </w:p>
        </w:tc>
        <w:tc>
          <w:tcPr>
            <w:tcW w:w="312" w:type="pct"/>
            <w:vAlign w:val="center"/>
          </w:tcPr>
          <w:p w14:paraId="7AC5AC8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w:t>
            </w:r>
          </w:p>
        </w:tc>
        <w:tc>
          <w:tcPr>
            <w:tcW w:w="463" w:type="pct"/>
            <w:vMerge w:val="continue"/>
            <w:vAlign w:val="center"/>
          </w:tcPr>
          <w:p w14:paraId="02894D5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0B23402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8134EA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3C9902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10</w:t>
            </w:r>
          </w:p>
        </w:tc>
        <w:tc>
          <w:tcPr>
            <w:tcW w:w="690" w:type="pct"/>
            <w:vAlign w:val="center"/>
          </w:tcPr>
          <w:p w14:paraId="368AC1F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5FE97C0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r w14:paraId="43D1D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28AFD18">
            <w:pPr>
              <w:pStyle w:val="6"/>
              <w:jc w:val="center"/>
              <w:rPr>
                <w:rFonts w:hint="eastAsia" w:ascii="仿宋" w:hAnsi="仿宋" w:eastAsia="仿宋" w:cs="仿宋"/>
                <w:sz w:val="22"/>
                <w:szCs w:val="22"/>
                <w:highlight w:val="none"/>
                <w:lang w:val="en-US" w:eastAsia="zh-CN"/>
              </w:rPr>
            </w:pPr>
          </w:p>
        </w:tc>
        <w:tc>
          <w:tcPr>
            <w:tcW w:w="312" w:type="pct"/>
            <w:vAlign w:val="center"/>
          </w:tcPr>
          <w:p w14:paraId="43E1699A">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w:t>
            </w:r>
          </w:p>
        </w:tc>
        <w:tc>
          <w:tcPr>
            <w:tcW w:w="463" w:type="pct"/>
            <w:vMerge w:val="restart"/>
            <w:vAlign w:val="center"/>
          </w:tcPr>
          <w:p w14:paraId="421F355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病理</w:t>
            </w:r>
          </w:p>
        </w:tc>
        <w:tc>
          <w:tcPr>
            <w:tcW w:w="821" w:type="pct"/>
            <w:vAlign w:val="center"/>
          </w:tcPr>
          <w:p w14:paraId="433D65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44356FF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4C6BAC7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D55FC9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0CD28682">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F098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6172585">
            <w:pPr>
              <w:pStyle w:val="6"/>
              <w:jc w:val="center"/>
              <w:rPr>
                <w:rFonts w:hint="eastAsia" w:ascii="仿宋" w:hAnsi="仿宋" w:eastAsia="仿宋" w:cs="仿宋"/>
                <w:sz w:val="22"/>
                <w:szCs w:val="22"/>
                <w:highlight w:val="none"/>
                <w:lang w:val="en-US" w:eastAsia="zh-CN"/>
              </w:rPr>
            </w:pPr>
          </w:p>
        </w:tc>
        <w:tc>
          <w:tcPr>
            <w:tcW w:w="312" w:type="pct"/>
            <w:vAlign w:val="center"/>
          </w:tcPr>
          <w:p w14:paraId="1B02733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p>
        </w:tc>
        <w:tc>
          <w:tcPr>
            <w:tcW w:w="463" w:type="pct"/>
            <w:vMerge w:val="continue"/>
            <w:vAlign w:val="center"/>
          </w:tcPr>
          <w:p w14:paraId="59555E2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48E3CB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3DD69F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0BB0D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24</w:t>
            </w:r>
          </w:p>
        </w:tc>
        <w:tc>
          <w:tcPr>
            <w:tcW w:w="690" w:type="pct"/>
            <w:vAlign w:val="center"/>
          </w:tcPr>
          <w:p w14:paraId="416376C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2A4F6F24">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28A9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D285CF6">
            <w:pPr>
              <w:pStyle w:val="6"/>
              <w:jc w:val="center"/>
              <w:rPr>
                <w:rFonts w:hint="eastAsia" w:ascii="仿宋" w:hAnsi="仿宋" w:eastAsia="仿宋" w:cs="仿宋"/>
                <w:sz w:val="22"/>
                <w:szCs w:val="22"/>
                <w:highlight w:val="none"/>
                <w:lang w:val="en-US" w:eastAsia="zh-CN"/>
              </w:rPr>
            </w:pPr>
          </w:p>
        </w:tc>
        <w:tc>
          <w:tcPr>
            <w:tcW w:w="312" w:type="pct"/>
            <w:vAlign w:val="center"/>
          </w:tcPr>
          <w:p w14:paraId="55EEFE25">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w:t>
            </w:r>
          </w:p>
        </w:tc>
        <w:tc>
          <w:tcPr>
            <w:tcW w:w="463" w:type="pct"/>
            <w:vMerge w:val="continue"/>
            <w:vAlign w:val="center"/>
          </w:tcPr>
          <w:p w14:paraId="31E8DB4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3929F0F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3481085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20FAA33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FADF30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8C2EEB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E2FF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5F4D9C7">
            <w:pPr>
              <w:pStyle w:val="6"/>
              <w:jc w:val="center"/>
              <w:rPr>
                <w:rFonts w:hint="eastAsia" w:ascii="仿宋" w:hAnsi="仿宋" w:eastAsia="仿宋" w:cs="仿宋"/>
                <w:sz w:val="22"/>
                <w:szCs w:val="22"/>
                <w:highlight w:val="none"/>
                <w:lang w:val="en-US" w:eastAsia="zh-CN"/>
              </w:rPr>
            </w:pPr>
          </w:p>
        </w:tc>
        <w:tc>
          <w:tcPr>
            <w:tcW w:w="312" w:type="pct"/>
            <w:vAlign w:val="center"/>
          </w:tcPr>
          <w:p w14:paraId="080DA304">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w:t>
            </w:r>
          </w:p>
        </w:tc>
        <w:tc>
          <w:tcPr>
            <w:tcW w:w="463" w:type="pct"/>
            <w:vMerge w:val="continue"/>
            <w:vAlign w:val="center"/>
          </w:tcPr>
          <w:p w14:paraId="249808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ABD067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F05B4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B205E48">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625FA9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238D0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bl>
    <w:p w14:paraId="60CC179F">
      <w:pPr>
        <w:pStyle w:val="6"/>
        <w:jc w:val="left"/>
        <w:rPr>
          <w:rFonts w:hint="default" w:ascii="仿宋" w:hAnsi="仿宋" w:eastAsia="仿宋" w:cs="仿宋"/>
          <w:highlight w:val="none"/>
          <w:lang w:val="en-US" w:eastAsia="zh-CN"/>
        </w:rPr>
      </w:pPr>
    </w:p>
    <w:p w14:paraId="52F85EA1">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3.2.</w:t>
      </w:r>
      <w:r>
        <w:rPr>
          <w:rFonts w:hint="eastAsia" w:ascii="仿宋" w:hAnsi="仿宋" w:eastAsia="仿宋" w:cs="仿宋"/>
          <w:b/>
          <w:sz w:val="28"/>
          <w:highlight w:val="none"/>
          <w:lang w:val="en-US" w:eastAsia="zh-CN"/>
        </w:rPr>
        <w:t>技术</w:t>
      </w:r>
      <w:r>
        <w:rPr>
          <w:rFonts w:hint="eastAsia" w:ascii="仿宋" w:hAnsi="仿宋" w:eastAsia="仿宋" w:cs="仿宋"/>
          <w:b/>
          <w:sz w:val="28"/>
          <w:highlight w:val="none"/>
        </w:rPr>
        <w:t>要求</w:t>
      </w:r>
    </w:p>
    <w:p w14:paraId="2F7DC7DD">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供应商根据需求提供放射工作人员和病理科工作人员的上岗前、在岗期间、离岗时和应急检查服务。严格遵守《中华人民共和国职业病防治法》《职业健康检查管理办法》《职业健康监护技术规范》《放射工作人员健康要求及监护规范》等相关规范要求开展职业健康检查工作。</w:t>
      </w:r>
    </w:p>
    <w:p w14:paraId="78CA778E">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2.供应商严格按照医疗检测常规保质保量开展检查相关工作，并出具纸质版和电子版的检查报告和检查总结报告，检查的所有项目须独立完成，不得转包和分包。</w:t>
      </w:r>
    </w:p>
    <w:p w14:paraId="0923671C">
      <w:pPr>
        <w:pStyle w:val="6"/>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3.供应商应对采购方员工的健康信息及相关个人隐私进行保密。</w:t>
      </w:r>
    </w:p>
    <w:p w14:paraId="04C033E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商务要求</w:t>
      </w:r>
    </w:p>
    <w:p w14:paraId="5DE218BD">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一、合同履行期限：2026年8月28日起</w:t>
      </w:r>
      <w:bookmarkStart w:id="1" w:name="_GoBack"/>
      <w:bookmarkEnd w:id="1"/>
      <w:r>
        <w:rPr>
          <w:rFonts w:hint="eastAsia" w:ascii="仿宋" w:hAnsi="仿宋" w:eastAsia="仿宋" w:cs="仿宋"/>
          <w:color w:val="000000"/>
          <w:kern w:val="0"/>
          <w:sz w:val="22"/>
          <w:szCs w:val="22"/>
          <w:highlight w:val="none"/>
          <w:u w:val="none"/>
          <w:lang w:val="en-US" w:eastAsia="zh-CN" w:bidi="ar"/>
        </w:rPr>
        <w:t>至2028年8月28日止（如在合同履行期间内江市第一人民医院具备了放射工作人员职业健康检查资质则自动终止合同。）</w:t>
      </w:r>
    </w:p>
    <w:p w14:paraId="0C5E42D9">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二、合同履约地点：内江市第一人民医院指定地点</w:t>
      </w:r>
    </w:p>
    <w:p w14:paraId="0BB11881">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三、合同支付约定：保质保量完成职业健康检查工作后，一年结算一次，由供应商开具合法票据，在收到票据后30个工作日内进行付款。</w:t>
      </w:r>
    </w:p>
    <w:p w14:paraId="6CB0CB76">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四、验收交付标准和方法：取得所有检查人员的纸质版和电子版的检查报告和检查总结报告。</w:t>
      </w:r>
    </w:p>
    <w:p w14:paraId="57A7DE33">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五、报价要求：本项目采用统一下浮率进行报价，供应商根据标的情况中的各项最高单价限价报出统一下浮率。结算金额=最高单价限价*（1-下浮率%）*实际数量。</w:t>
      </w:r>
    </w:p>
    <w:p w14:paraId="27C2CE88">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六、服务要求：</w:t>
      </w:r>
    </w:p>
    <w:p w14:paraId="2990D748">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1.供应商必须严格按照采购公告及响应文件中的要求提供职业健康检查服务和体检早餐服务。提供的职业健康检查服务必须符合《职业健康检查管理办法》《职业健康检查技术规范》（GBZ 188）等法律法规和标准规范的要求</w:t>
      </w:r>
    </w:p>
    <w:p w14:paraId="0B00A6C8">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供应商必须严格按照最新的行业标准与相关的法律法规编写报告，如未按要求的行业标准与相关的法律法规编写报告，采购方有权单方面终止合同，并且供应商全额退还采购方支付的检查服务费，采购方有权追究供应商的法律责任。</w:t>
      </w:r>
    </w:p>
    <w:p w14:paraId="0261DF94">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3.供应商实施检查时发现职业禁忌、疑似职业病病人时，应当及时告知受检者和采购方，为检查结果异常人员提供免费复查服务，并开展职业病防治知识宣教，并提供相关指导。</w:t>
      </w:r>
    </w:p>
    <w:p w14:paraId="51C3C4A4">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4.采购方有应急场景下的职业健康检查要求，供应商须按照采购方要求在规定的时间节点内完成检查并交付报告。</w:t>
      </w:r>
    </w:p>
    <w:p w14:paraId="44F3A32D">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供应商应能提供院内现场检查服务，或其检查地址应方便我院工作人员前往，并提供体检早餐服务，如检查地址不在内江市城区，供应商应负责有关检查人员自行前往检查的差旅费（按采购方相关差旅补助制度执行）。</w:t>
      </w:r>
    </w:p>
    <w:p w14:paraId="6C5420B5">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6.投入本项目的相关工作人员须具备相应的技术资格证书，且具备三年及以上工作经验。</w:t>
      </w:r>
    </w:p>
    <w:p w14:paraId="3287AFF1">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七、违约责任：</w:t>
      </w:r>
    </w:p>
    <w:p w14:paraId="25F972FA">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（1）供应商如未按要求的行业标准与相关的法律法规编写报告或者出具虚假报告等，采购方有权单方面终止合同，并且供应商应全额退还采购方支付的检查服务费，采购方有权追究供应商的法律责任；</w:t>
      </w:r>
    </w:p>
    <w:p w14:paraId="07B56308">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（2）单个项目未在规定时限内完成，应向采购人支付该单个项目总费用20%的违约金；应急/事故检测未在规定时限内完成，应向采购人支付采购预算10%的违约金。</w:t>
      </w:r>
    </w:p>
    <w:p w14:paraId="659E9A79">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（3）供应商拒不提供服务或不履行其主要合同义务或明示不履行合同义务的，构成根本性违约，应当向采购人支付采购预算30%的违约金，同时采购人有权单方面解除本合同。</w:t>
      </w:r>
    </w:p>
    <w:p w14:paraId="49B5AA52">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（4）供应商擅自变更、中止、终止、解除合同的，应按采购预算金额30%向采购人支付违约金，同时采购人有权单方解除合同。</w:t>
      </w:r>
    </w:p>
    <w:p w14:paraId="0F805B54">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（5）供应商因上述违约行为支付的违约金不足以弥补采购人损失的，还应按采购人实际经济损失足额补足。</w:t>
      </w:r>
    </w:p>
    <w:p w14:paraId="562E86AE">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40BB892C">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7214FF2F">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八、争议解决条款：</w:t>
      </w:r>
    </w:p>
    <w:p w14:paraId="67657FDE">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（1）采购合同履行期间，若双方发生争议，可协商或由有关部门调解解决，协商或调解不成的，双方均同意向采购人所在地有管辖权的人民法院提起诉讼。</w:t>
      </w:r>
    </w:p>
    <w:p w14:paraId="61E2AA6D">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（2）在诉讼期间，除正在进行诉讼部分外，合同其他部分继续执行。</w:t>
      </w:r>
    </w:p>
    <w:p w14:paraId="1E0A35EF">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九、缔约过失责任：</w:t>
      </w:r>
    </w:p>
    <w:p w14:paraId="310A4FC7">
      <w:pPr>
        <w:pStyle w:val="6"/>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（1）供应商无正当理由未能在规定时间内与采购人签订合同的，需向采购人支付中标（成交）金额20%的赔偿金。赔偿金不足以弥补采购人全部损失的，还应赔偿采购人全部损失；</w:t>
      </w:r>
    </w:p>
    <w:p w14:paraId="71175DED">
      <w:pPr>
        <w:rPr>
          <w:rFonts w:hint="eastAsia"/>
          <w:highlight w:val="none"/>
          <w:lang w:val="en-US" w:eastAsia="zh-Hans"/>
        </w:rPr>
      </w:pPr>
      <w:r>
        <w:rPr>
          <w:rFonts w:hint="eastAsia" w:ascii="仿宋" w:hAnsi="仿宋" w:eastAsia="仿宋" w:cs="仿宋"/>
          <w:color w:val="000000"/>
          <w:kern w:val="0"/>
          <w:sz w:val="22"/>
          <w:szCs w:val="22"/>
          <w:highlight w:val="none"/>
          <w:u w:val="none"/>
          <w:lang w:val="en-US" w:eastAsia="zh-CN" w:bidi="ar"/>
        </w:rPr>
        <w:t>（2）若投标供应商提交的投标（响应）文件存在虚假材料或虚假响应的情况，投标供应商应向采购人支付项目预算总金额30%的赔偿金。</w:t>
      </w:r>
      <w:r>
        <w:rPr>
          <w:rFonts w:hint="eastAsia" w:ascii="仿宋" w:hAnsi="仿宋" w:eastAsia="仿宋" w:cs="仿宋"/>
          <w:color w:val="000000"/>
          <w:kern w:val="0"/>
          <w:sz w:val="22"/>
          <w:szCs w:val="22"/>
          <w:highlight w:val="none"/>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97A41"/>
    <w:rsid w:val="02A816B2"/>
    <w:rsid w:val="06F646E6"/>
    <w:rsid w:val="077F66F5"/>
    <w:rsid w:val="082A4A66"/>
    <w:rsid w:val="0A4E6448"/>
    <w:rsid w:val="0AE20369"/>
    <w:rsid w:val="0FBE6E80"/>
    <w:rsid w:val="108B406B"/>
    <w:rsid w:val="17E8357A"/>
    <w:rsid w:val="1ACE595C"/>
    <w:rsid w:val="1D6E72C9"/>
    <w:rsid w:val="1E9C300C"/>
    <w:rsid w:val="2D666B35"/>
    <w:rsid w:val="2DD262C3"/>
    <w:rsid w:val="312E4E5B"/>
    <w:rsid w:val="3605102C"/>
    <w:rsid w:val="368372FD"/>
    <w:rsid w:val="3E441D93"/>
    <w:rsid w:val="408C390F"/>
    <w:rsid w:val="4EE35A4E"/>
    <w:rsid w:val="55DA3FC2"/>
    <w:rsid w:val="5D2D4643"/>
    <w:rsid w:val="6B3117C7"/>
    <w:rsid w:val="6E682869"/>
    <w:rsid w:val="716442F4"/>
    <w:rsid w:val="71D0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2555</Words>
  <Characters>2617</Characters>
  <Lines>0</Lines>
  <Paragraphs>0</Paragraphs>
  <TotalTime>0</TotalTime>
  <ScaleCrop>false</ScaleCrop>
  <LinksUpToDate>false</LinksUpToDate>
  <CharactersWithSpaces>2618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lz</cp:lastModifiedBy>
  <dcterms:modified xsi:type="dcterms:W3CDTF">2026-07-16T09:21:51Z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