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9AC66">
      <w:pPr>
        <w:pStyle w:val="11"/>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85E51E4">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5002BA2A">
      <w:pPr>
        <w:pStyle w:val="11"/>
        <w:jc w:val="left"/>
        <w:outlineLvl w:val="1"/>
        <w:rPr>
          <w:rFonts w:hint="eastAsia" w:ascii="仿宋" w:hAnsi="仿宋" w:eastAsia="仿宋" w:cs="仿宋"/>
          <w:sz w:val="28"/>
          <w:szCs w:val="28"/>
          <w:highlight w:val="none"/>
          <w:lang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66D76FCC">
      <w:pPr>
        <w:pStyle w:val="11"/>
        <w:ind w:firstLine="480"/>
        <w:jc w:val="left"/>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本项目提供的产品，必须为“四川省药品和医用耗材招采管理系统”中已挂网产品（不含正在挂网和备案的产品）。</w:t>
      </w:r>
    </w:p>
    <w:p w14:paraId="6036B028">
      <w:pPr>
        <w:pStyle w:val="11"/>
        <w:jc w:val="left"/>
        <w:rPr>
          <w:rFonts w:hint="default"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采购包1：</w:t>
      </w:r>
    </w:p>
    <w:tbl>
      <w:tblPr>
        <w:tblStyle w:val="8"/>
        <w:tblW w:w="467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2236"/>
        <w:gridCol w:w="1410"/>
        <w:gridCol w:w="845"/>
        <w:gridCol w:w="1384"/>
        <w:gridCol w:w="1422"/>
      </w:tblGrid>
      <w:tr w14:paraId="6FD74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trPr>
        <w:tc>
          <w:tcPr>
            <w:tcW w:w="423" w:type="pct"/>
            <w:vAlign w:val="center"/>
          </w:tcPr>
          <w:p w14:paraId="7D330A7B">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编号</w:t>
            </w:r>
          </w:p>
        </w:tc>
        <w:tc>
          <w:tcPr>
            <w:tcW w:w="1402" w:type="pct"/>
            <w:vAlign w:val="center"/>
          </w:tcPr>
          <w:p w14:paraId="74A75A5E">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标的名称</w:t>
            </w:r>
          </w:p>
        </w:tc>
        <w:tc>
          <w:tcPr>
            <w:tcW w:w="884" w:type="pct"/>
            <w:vAlign w:val="center"/>
          </w:tcPr>
          <w:p w14:paraId="43677F98">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★单价最高限价（</w:t>
            </w:r>
            <w:r>
              <w:rPr>
                <w:rFonts w:hint="default" w:ascii="仿宋" w:hAnsi="仿宋" w:eastAsia="仿宋" w:cs="仿宋"/>
                <w:b/>
                <w:bCs/>
                <w:sz w:val="22"/>
                <w:szCs w:val="22"/>
                <w:highlight w:val="none"/>
                <w:lang w:val="en-US" w:eastAsia="zh-CN"/>
              </w:rPr>
              <w:t>元</w:t>
            </w:r>
            <w:r>
              <w:rPr>
                <w:rFonts w:hint="eastAsia" w:ascii="仿宋" w:hAnsi="仿宋" w:eastAsia="仿宋" w:cs="仿宋"/>
                <w:b/>
                <w:bCs/>
                <w:sz w:val="22"/>
                <w:szCs w:val="22"/>
                <w:highlight w:val="none"/>
                <w:lang w:val="en-US" w:eastAsia="zh-CN"/>
              </w:rPr>
              <w:t>）</w:t>
            </w:r>
          </w:p>
        </w:tc>
        <w:tc>
          <w:tcPr>
            <w:tcW w:w="529" w:type="pct"/>
            <w:vAlign w:val="center"/>
          </w:tcPr>
          <w:p w14:paraId="22255A40">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计量单位</w:t>
            </w:r>
          </w:p>
        </w:tc>
        <w:tc>
          <w:tcPr>
            <w:tcW w:w="868" w:type="pct"/>
            <w:vAlign w:val="center"/>
          </w:tcPr>
          <w:p w14:paraId="2AB7E68E">
            <w:pPr>
              <w:pStyle w:val="11"/>
              <w:jc w:val="center"/>
              <w:rPr>
                <w:rFonts w:hint="default"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★使用数量</w:t>
            </w:r>
          </w:p>
        </w:tc>
        <w:tc>
          <w:tcPr>
            <w:tcW w:w="891" w:type="pct"/>
            <w:vAlign w:val="center"/>
          </w:tcPr>
          <w:p w14:paraId="4323BC63">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★项目最高限价（</w:t>
            </w:r>
            <w:r>
              <w:rPr>
                <w:rFonts w:hint="default" w:ascii="仿宋" w:hAnsi="仿宋" w:eastAsia="仿宋" w:cs="仿宋"/>
                <w:b/>
                <w:bCs/>
                <w:sz w:val="22"/>
                <w:szCs w:val="22"/>
                <w:highlight w:val="none"/>
                <w:lang w:val="en-US" w:eastAsia="zh-CN"/>
              </w:rPr>
              <w:t>元</w:t>
            </w:r>
            <w:r>
              <w:rPr>
                <w:rFonts w:hint="eastAsia" w:ascii="仿宋" w:hAnsi="仿宋" w:eastAsia="仿宋" w:cs="仿宋"/>
                <w:b/>
                <w:bCs/>
                <w:sz w:val="22"/>
                <w:szCs w:val="22"/>
                <w:highlight w:val="none"/>
                <w:lang w:val="en-US" w:eastAsia="zh-CN"/>
              </w:rPr>
              <w:t>）</w:t>
            </w:r>
          </w:p>
        </w:tc>
      </w:tr>
      <w:tr w14:paraId="54C2D7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423" w:type="pct"/>
            <w:vAlign w:val="center"/>
          </w:tcPr>
          <w:p w14:paraId="3900346C">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402" w:type="pct"/>
            <w:vAlign w:val="center"/>
          </w:tcPr>
          <w:p w14:paraId="0A934B72">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医用粘合剂</w:t>
            </w:r>
          </w:p>
        </w:tc>
        <w:tc>
          <w:tcPr>
            <w:tcW w:w="884" w:type="pct"/>
            <w:vAlign w:val="center"/>
          </w:tcPr>
          <w:p w14:paraId="445C0D42">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2250</w:t>
            </w:r>
          </w:p>
        </w:tc>
        <w:tc>
          <w:tcPr>
            <w:tcW w:w="529" w:type="pct"/>
            <w:vAlign w:val="center"/>
          </w:tcPr>
          <w:p w14:paraId="635049A3">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支</w:t>
            </w:r>
          </w:p>
        </w:tc>
        <w:tc>
          <w:tcPr>
            <w:tcW w:w="868" w:type="pct"/>
            <w:vAlign w:val="center"/>
          </w:tcPr>
          <w:p w14:paraId="442A87D5">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91" w:type="pct"/>
            <w:vAlign w:val="center"/>
          </w:tcPr>
          <w:p w14:paraId="76123EDF">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bl>
    <w:p w14:paraId="446169EB">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58508847">
      <w:pPr>
        <w:pStyle w:val="11"/>
        <w:jc w:val="left"/>
        <w:outlineLvl w:val="1"/>
        <w:rPr>
          <w:rFonts w:hint="eastAsia" w:ascii="仿宋" w:hAnsi="仿宋" w:eastAsia="仿宋" w:cs="仿宋"/>
          <w:b/>
          <w:sz w:val="28"/>
          <w:highlight w:val="none"/>
        </w:rPr>
      </w:pPr>
      <w:r>
        <w:rPr>
          <w:rFonts w:hint="eastAsia" w:ascii="仿宋" w:hAnsi="仿宋" w:eastAsia="仿宋" w:cs="仿宋"/>
          <w:b/>
          <w:sz w:val="28"/>
          <w:highlight w:val="none"/>
        </w:rPr>
        <w:t>3.2.技术要求</w:t>
      </w:r>
    </w:p>
    <w:p w14:paraId="16FF75F8">
      <w:pPr>
        <w:pStyle w:val="11"/>
        <w:jc w:val="left"/>
        <w:rPr>
          <w:rFonts w:hint="default"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采购包1：</w:t>
      </w:r>
    </w:p>
    <w:tbl>
      <w:tblPr>
        <w:tblStyle w:val="9"/>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69"/>
        <w:gridCol w:w="1551"/>
        <w:gridCol w:w="2529"/>
        <w:gridCol w:w="2487"/>
      </w:tblGrid>
      <w:tr w14:paraId="6274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0B052BDE">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编号</w:t>
            </w:r>
          </w:p>
        </w:tc>
        <w:tc>
          <w:tcPr>
            <w:tcW w:w="1469" w:type="dxa"/>
            <w:noWrap w:val="0"/>
            <w:vAlign w:val="center"/>
          </w:tcPr>
          <w:p w14:paraId="05E46565">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标的名称</w:t>
            </w:r>
          </w:p>
        </w:tc>
        <w:tc>
          <w:tcPr>
            <w:tcW w:w="1551" w:type="dxa"/>
            <w:noWrap w:val="0"/>
            <w:vAlign w:val="center"/>
          </w:tcPr>
          <w:p w14:paraId="0E4A5B97">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医保耗材代码</w:t>
            </w:r>
          </w:p>
        </w:tc>
        <w:tc>
          <w:tcPr>
            <w:tcW w:w="2529" w:type="dxa"/>
            <w:noWrap w:val="0"/>
            <w:vAlign w:val="center"/>
          </w:tcPr>
          <w:p w14:paraId="654A408F">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★预期用途/适应症</w:t>
            </w:r>
          </w:p>
        </w:tc>
        <w:tc>
          <w:tcPr>
            <w:tcW w:w="2487" w:type="dxa"/>
            <w:noWrap w:val="0"/>
            <w:vAlign w:val="center"/>
          </w:tcPr>
          <w:p w14:paraId="05A2A1FD">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预期使用的规格型号</w:t>
            </w:r>
          </w:p>
        </w:tc>
      </w:tr>
      <w:tr w14:paraId="4F1A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644" w:type="dxa"/>
            <w:noWrap w:val="0"/>
            <w:vAlign w:val="center"/>
          </w:tcPr>
          <w:p w14:paraId="079889AD">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469" w:type="dxa"/>
            <w:noWrap w:val="0"/>
            <w:vAlign w:val="center"/>
          </w:tcPr>
          <w:p w14:paraId="3A146DD6">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医用粘合剂</w:t>
            </w:r>
          </w:p>
        </w:tc>
        <w:tc>
          <w:tcPr>
            <w:tcW w:w="1551" w:type="dxa"/>
            <w:noWrap w:val="0"/>
            <w:vAlign w:val="center"/>
          </w:tcPr>
          <w:p w14:paraId="0DFCFE63">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C140805186</w:t>
            </w:r>
          </w:p>
        </w:tc>
        <w:tc>
          <w:tcPr>
            <w:tcW w:w="2529" w:type="dxa"/>
            <w:noWrap w:val="0"/>
            <w:vAlign w:val="center"/>
          </w:tcPr>
          <w:p w14:paraId="691EF489">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用于肺部破口、漏气的粘合治疗。</w:t>
            </w:r>
          </w:p>
        </w:tc>
        <w:tc>
          <w:tcPr>
            <w:tcW w:w="2487" w:type="dxa"/>
            <w:noWrap w:val="0"/>
            <w:vAlign w:val="center"/>
          </w:tcPr>
          <w:p w14:paraId="05FD3A0F">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2ml/支</w:t>
            </w:r>
          </w:p>
        </w:tc>
      </w:tr>
    </w:tbl>
    <w:p w14:paraId="35415CE1">
      <w:pPr>
        <w:pStyle w:val="11"/>
        <w:jc w:val="left"/>
        <w:outlineLvl w:val="9"/>
        <w:rPr>
          <w:rFonts w:hint="eastAsia" w:ascii="仿宋" w:hAnsi="仿宋" w:eastAsia="仿宋" w:cs="仿宋"/>
          <w:color w:val="auto"/>
          <w:kern w:val="2"/>
          <w:sz w:val="20"/>
          <w:szCs w:val="20"/>
          <w:highlight w:val="none"/>
          <w:shd w:val="clear" w:color="auto" w:fill="auto"/>
          <w:lang w:val="en-US" w:eastAsia="zh-CN" w:bidi="ar-SA"/>
        </w:rPr>
      </w:pPr>
      <w:r>
        <w:rPr>
          <w:rFonts w:hint="eastAsia" w:ascii="仿宋" w:hAnsi="仿宋" w:eastAsia="仿宋" w:cs="仿宋"/>
          <w:color w:val="auto"/>
          <w:kern w:val="2"/>
          <w:sz w:val="20"/>
          <w:szCs w:val="20"/>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2CE933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07E149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一、挂网需求</w:t>
      </w:r>
    </w:p>
    <w:p w14:paraId="7870F7F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本项目所有标的均须提供挂网产品。</w:t>
      </w:r>
    </w:p>
    <w:p w14:paraId="38D1BAF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注：本项目中所指“挂网产品”，为“四川省药品和医用耗材招采管理系统”中已挂网产品（不含正在挂网和备案的产品）。</w:t>
      </w:r>
    </w:p>
    <w:p w14:paraId="472D76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二、样品要求</w:t>
      </w:r>
    </w:p>
    <w:p w14:paraId="1246755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000FD99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2.提交的样品不符合实际需求或存在原理错误则视为无效响应。</w:t>
      </w:r>
    </w:p>
    <w:p w14:paraId="6946107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3.本项目竞选人提供的样品，应与该竞选人响应文件保持一致（具体参考《医疗器械说明书和标签管理规定》）。</w:t>
      </w:r>
    </w:p>
    <w:p w14:paraId="0600D06D">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3EC7FF8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4"/>
          <w:szCs w:val="24"/>
          <w:highlight w:val="none"/>
          <w:lang w:val="en-US" w:eastAsia="zh-CN"/>
        </w:rPr>
        <w:t>三、商务</w:t>
      </w:r>
      <w:r>
        <w:rPr>
          <w:rFonts w:hint="eastAsia" w:ascii="仿宋" w:hAnsi="仿宋" w:eastAsia="仿宋" w:cs="仿宋"/>
          <w:b/>
          <w:sz w:val="24"/>
          <w:szCs w:val="24"/>
          <w:highlight w:val="none"/>
        </w:rPr>
        <w:t>要求</w:t>
      </w:r>
    </w:p>
    <w:p w14:paraId="7EC6E5C3">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（一）服务期限</w:t>
      </w:r>
    </w:p>
    <w:p w14:paraId="6B57E07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1.每次配送时间必须严格按照采购人配送通知执行，中选人应于收到通知后2小时内响应。急用产品的配送时间不应超过4小时，一般产品原则上的配送时间不应超过2个工作日。</w:t>
      </w:r>
    </w:p>
    <w:p w14:paraId="062722BE">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（二）服务地点</w:t>
      </w:r>
    </w:p>
    <w:p w14:paraId="677E1ED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1.内江市第一人民医院指定地点。</w:t>
      </w:r>
    </w:p>
    <w:p w14:paraId="48ACCDA6">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（三）付款方式和条件</w:t>
      </w:r>
    </w:p>
    <w:p w14:paraId="2568544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1.结算方式：双方同意以采购人财务制度规定的付款时间及付款要求进行结算，投标人已完全了解并清楚采购人的财务制度，投标人对采购人财务制度规定的付款要求及付款时间不持异议。</w:t>
      </w:r>
    </w:p>
    <w:p w14:paraId="012700E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2.成交价格包含成本、运输、包装、培训、配送、伴随服务、税费及其他附加费用等一切费用。</w:t>
      </w:r>
    </w:p>
    <w:p w14:paraId="5052B10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3.若本项目中限定了标的数量或金额，中标人应严格按照响应内容执行，采购人有权拒绝支付超出响应范围的任何内容。</w:t>
      </w:r>
    </w:p>
    <w:p w14:paraId="0BDA5294">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（四）验收、交付标准和方法</w:t>
      </w:r>
    </w:p>
    <w:p w14:paraId="52BC040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3A3D687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0FAD678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7B5BD3C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4.其他未尽事宜严格按照《财政部关于进一步加强政府采购需求和履约验收管理的指导意见》（财库〔2016〕205号）的要求进行。</w:t>
      </w:r>
    </w:p>
    <w:p w14:paraId="04C8F4E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5.所配送耗材的技术参数与性能指标中涉及到的国家标准、行业标准或地方标准，若有最新标准以最新标准为准。</w:t>
      </w:r>
    </w:p>
    <w:p w14:paraId="1334F053">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（五）售后服务</w:t>
      </w:r>
    </w:p>
    <w:p w14:paraId="2DEBBFD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2632AF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2.要求中选人指派专人负责与采购人联系售后服务事宜；在投标文件中列明售后联系人及联系电话。</w:t>
      </w:r>
    </w:p>
    <w:p w14:paraId="52D4160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DFA028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4.耗材临近失效期，采购人提前三个月向中选人提出更换，中选人须在耗材失效前一个月更换完毕，不得以任何理由进行推诿。</w:t>
      </w:r>
    </w:p>
    <w:p w14:paraId="0131597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5.中选人必须随货提供其具备医疗器械经营企业的有关合法有效的手续（包括但不限于）：</w:t>
      </w:r>
    </w:p>
    <w:p w14:paraId="6BEF1FB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5.1产品所涉及逐级授权经销商的医疗器械生产（经营）许可证或生产（经营）企业备案表；</w:t>
      </w:r>
    </w:p>
    <w:p w14:paraId="362B8F6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5.2医疗器械产品注册证或备案凭证；</w:t>
      </w:r>
    </w:p>
    <w:p w14:paraId="78D7735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5.3医疗器械生产企业许可证；</w:t>
      </w:r>
    </w:p>
    <w:p w14:paraId="1EA109B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5.4经销商获得的委托授权书（逐级）；</w:t>
      </w:r>
    </w:p>
    <w:p w14:paraId="016513B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5.5产品所涉及逐级授权经销商的企业法人营业执照。</w:t>
      </w:r>
    </w:p>
    <w:p w14:paraId="61B9E41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5.6采购人要求提供的相关资料。</w:t>
      </w:r>
    </w:p>
    <w:p w14:paraId="0D7E6C9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7EA34D8E">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（六）配送医用耗材质量保证</w:t>
      </w:r>
    </w:p>
    <w:p w14:paraId="67E1B95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1.中标人须配送原厂生产的未曾使用过的、全新的合格的货品（含配套配件等），表面无划伤、无破损痕迹，且权属清楚，不得侵害他人的合法权利。</w:t>
      </w:r>
    </w:p>
    <w:p w14:paraId="322648E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0E157CB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68A43F7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4.中标人保证其配送货品的安全可靠性。在正常使用下不应对使用者造成任何人身伤害，如因产品质量或标识不明确而对使用者造成损失的，由中标人承担相应责任。</w:t>
      </w:r>
    </w:p>
    <w:p w14:paraId="4CF887B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F2989B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6.中标人保证所供耗材有效期不低于1年，自通过最终验收之日起，确保采购人在使用耗材的过程中安全、有效。</w:t>
      </w:r>
    </w:p>
    <w:p w14:paraId="6DCF7B10">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（七）包装和运输</w:t>
      </w:r>
    </w:p>
    <w:p w14:paraId="420DB0A3">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 xml:space="preserve">1.成交投标人须严格按照《商品包装政府采购需求标准(试行)》、《快递包装政府采购需 求标准(试行)》(财办库〔2020〕123 号)的要求进行产品及相关快递服务的包装。 </w:t>
      </w:r>
    </w:p>
    <w:p w14:paraId="01C788A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13E04A8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3.本次采购的标的物需要运输，投标人在合同约定的时间内将标的物运输至合同约定地点。</w:t>
      </w:r>
    </w:p>
    <w:p w14:paraId="41C4FDAB">
      <w:pPr>
        <w:pStyle w:val="11"/>
        <w:spacing w:line="240" w:lineRule="auto"/>
        <w:jc w:val="left"/>
        <w:outlineLvl w:val="1"/>
        <w:rPr>
          <w:rFonts w:hint="eastAsia" w:ascii="仿宋" w:hAnsi="仿宋" w:eastAsia="仿宋" w:cs="仿宋"/>
          <w:highlight w:val="none"/>
          <w:lang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3.4.其他要求</w:t>
      </w:r>
    </w:p>
    <w:p w14:paraId="1C468A4D">
      <w:pPr>
        <w:pStyle w:val="11"/>
        <w:keepNext w:val="0"/>
        <w:keepLines w:val="0"/>
        <w:pageBreakBefore w:val="0"/>
        <w:kinsoku/>
        <w:wordWrap/>
        <w:overflowPunct/>
        <w:topLinePunct w:val="0"/>
        <w:autoSpaceDE/>
        <w:autoSpaceDN/>
        <w:bidi w:val="0"/>
        <w:adjustRightInd/>
        <w:snapToGrid/>
        <w:spacing w:line="240" w:lineRule="auto"/>
        <w:jc w:val="left"/>
        <w:outlineLvl w:val="9"/>
        <w:rPr>
          <w:rFonts w:hint="default"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w:t>
      </w:r>
      <w:r>
        <w:rPr>
          <w:rFonts w:hint="default" w:ascii="仿宋" w:hAnsi="仿宋" w:eastAsia="仿宋" w:cs="仿宋"/>
          <w:b/>
          <w:sz w:val="24"/>
          <w:szCs w:val="24"/>
          <w:highlight w:val="none"/>
          <w:lang w:val="en-US" w:eastAsia="zh-CN"/>
        </w:rPr>
        <w:t>违约责任与解决争议的方法：</w:t>
      </w:r>
    </w:p>
    <w:p w14:paraId="24A10940">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（一）违约责任</w:t>
      </w:r>
    </w:p>
    <w:p w14:paraId="6C9F734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1.中选人逾期15日内不能配送采购人所需医用耗材的，应向采购人每日支付该批次货款千分之三的违约金。</w:t>
      </w:r>
    </w:p>
    <w:p w14:paraId="669F9F1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2.中选人逾期15日及以上不能配送以上产品的，视同不能供货，须向采购人支付该批次货款的10%的违约金，同时采购人可以单方面解除采购合同。</w:t>
      </w:r>
    </w:p>
    <w:p w14:paraId="18F4FE8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3.若因中选人原因造成采购人被监管部门通报三次及以上或者造成采购人违规采购，采购人有权单方面解除采购合同。同时，采购人有权要求中选人支付该批货物价款20%的违约金。</w:t>
      </w:r>
    </w:p>
    <w:p w14:paraId="2B486FC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5B028B7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5.若根据法律规定或协议约定产生采购人退、换货或拒绝收货情形，由中选人承担退换货产生的各项税、费或其他支出。</w:t>
      </w:r>
    </w:p>
    <w:p w14:paraId="45B4B67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6.中选人不能保证及时供货，除应当向采购人承担违约责任外，采购人仍有权单方面解除采购合同。</w:t>
      </w:r>
    </w:p>
    <w:p w14:paraId="68BD764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7.因中选人配送的产品不合格造成采购人或第三人人身损害或财产损失的，由中选人承担赔偿责任。</w:t>
      </w:r>
    </w:p>
    <w:p w14:paraId="27A89D6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8.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313F82B1">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（二）解决合同纠纷的方式</w:t>
      </w:r>
    </w:p>
    <w:p w14:paraId="59A0F858">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1.因货物的质量问题发生的争议，由法定质量鉴定机构或其认可的质量鉴定机构进行质量鉴定。货物符合标准的，鉴定费由采购人承担；货物不符合质量标准的，鉴定费由中选人承担。</w:t>
      </w:r>
    </w:p>
    <w:p w14:paraId="4CE2A3AD">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color w:val="000000"/>
          <w:kern w:val="0"/>
          <w:sz w:val="21"/>
          <w:szCs w:val="21"/>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2.合同履行期间，若双方发生争议，可协商或由有关部门调解解决，协商或调解不成的，可向采购人住所地人民法院依法提起诉讼解决。</w:t>
      </w:r>
    </w:p>
    <w:p w14:paraId="0B90C31C">
      <w:pPr>
        <w:pStyle w:val="11"/>
        <w:keepNext w:val="0"/>
        <w:keepLines w:val="0"/>
        <w:pageBreakBefore w:val="0"/>
        <w:kinsoku/>
        <w:wordWrap/>
        <w:overflowPunct/>
        <w:topLinePunct w:val="0"/>
        <w:autoSpaceDE/>
        <w:autoSpaceDN/>
        <w:bidi w:val="0"/>
        <w:adjustRightInd/>
        <w:snapToGrid/>
        <w:spacing w:line="240" w:lineRule="auto"/>
        <w:ind w:firstLine="480"/>
        <w:jc w:val="left"/>
        <w:outlineLvl w:val="9"/>
        <w:rPr>
          <w:rFonts w:hint="default"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二、</w:t>
      </w:r>
      <w:r>
        <w:rPr>
          <w:rFonts w:hint="default" w:ascii="Times New Roman" w:hAnsi="Times New Roman" w:eastAsia="仿宋" w:cs="Times New Roman"/>
          <w:b/>
          <w:bCs/>
          <w:color w:val="auto"/>
          <w:sz w:val="24"/>
          <w:szCs w:val="24"/>
          <w:highlight w:val="none"/>
          <w:shd w:val="clear" w:color="auto" w:fill="auto"/>
        </w:rPr>
        <w:t>合同履行期限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71C73A9A">
      <w:pPr>
        <w:pStyle w:val="11"/>
        <w:keepNext w:val="0"/>
        <w:keepLines w:val="0"/>
        <w:pageBreakBefore w:val="0"/>
        <w:kinsoku/>
        <w:wordWrap/>
        <w:overflowPunct/>
        <w:topLinePunct w:val="0"/>
        <w:autoSpaceDE/>
        <w:autoSpaceDN/>
        <w:bidi w:val="0"/>
        <w:adjustRightInd/>
        <w:snapToGrid/>
        <w:spacing w:line="240" w:lineRule="auto"/>
        <w:ind w:firstLine="480"/>
        <w:jc w:val="left"/>
        <w:outlineLvl w:val="9"/>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三、</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分批次验收。</w:t>
      </w:r>
    </w:p>
    <w:p w14:paraId="2788B055">
      <w:pPr>
        <w:keepNext w:val="0"/>
        <w:keepLines w:val="0"/>
        <w:pageBreakBefore w:val="0"/>
        <w:widowControl w:val="0"/>
        <w:kinsoku/>
        <w:wordWrap/>
        <w:overflowPunct/>
        <w:topLinePunct w:val="0"/>
        <w:autoSpaceDE/>
        <w:autoSpaceDN/>
        <w:bidi w:val="0"/>
        <w:adjustRightInd/>
        <w:snapToGrid/>
        <w:spacing w:line="288" w:lineRule="auto"/>
        <w:ind w:firstLine="482" w:firstLineChars="200"/>
        <w:jc w:val="left"/>
        <w:textAlignment w:val="auto"/>
        <w:rPr>
          <w:rFonts w:hint="eastAsia" w:ascii="仿宋" w:hAnsi="仿宋" w:eastAsia="仿宋" w:cs="仿宋"/>
          <w:color w:val="auto"/>
          <w:kern w:val="2"/>
          <w:sz w:val="24"/>
          <w:szCs w:val="24"/>
          <w:highlight w:val="none"/>
          <w:u w:val="none"/>
          <w:shd w:val="clear" w:color="auto" w:fill="auto"/>
          <w:lang w:val="en-US" w:eastAsia="zh-CN" w:bidi="ar-SA"/>
        </w:rPr>
      </w:pPr>
      <w:r>
        <w:rPr>
          <w:rFonts w:hint="eastAsia" w:ascii="仿宋" w:hAnsi="仿宋" w:eastAsia="仿宋" w:cs="仿宋"/>
          <w:b/>
          <w:bCs/>
          <w:sz w:val="24"/>
          <w:szCs w:val="24"/>
          <w:highlight w:val="none"/>
          <w:lang w:val="en-US" w:eastAsia="zh-CN"/>
        </w:rPr>
        <w:t>四、</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1"/>
          <w:szCs w:val="21"/>
          <w:highlight w:val="none"/>
          <w:u w:val="none"/>
          <w:lang w:val="en-US" w:eastAsia="zh-CN" w:bidi="ar"/>
        </w:rPr>
        <w:t>合同期限内，根据采购人要求分批次送货，完成送货、验收入库视为验收完成</w:t>
      </w:r>
      <w:r>
        <w:rPr>
          <w:rFonts w:hint="eastAsia" w:ascii="仿宋" w:hAnsi="仿宋" w:eastAsia="仿宋" w:cs="仿宋"/>
          <w:color w:val="000000"/>
          <w:kern w:val="0"/>
          <w:sz w:val="21"/>
          <w:szCs w:val="21"/>
          <w:highlight w:val="none"/>
          <w:u w:val="none"/>
          <w:lang w:val="en-US" w:eastAsia="zh-CN" w:bidi="ar"/>
        </w:rPr>
        <w:t>。</w:t>
      </w:r>
      <w:bookmarkStart w:id="1" w:name="_GoBack"/>
      <w:bookmarkEnd w:id="1"/>
    </w:p>
    <w:p w14:paraId="45C403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0FBC2FF0"/>
    <w:rsid w:val="108B406B"/>
    <w:rsid w:val="13BC3A82"/>
    <w:rsid w:val="18864C72"/>
    <w:rsid w:val="1ACE595C"/>
    <w:rsid w:val="1B91392F"/>
    <w:rsid w:val="1C662C9C"/>
    <w:rsid w:val="20611393"/>
    <w:rsid w:val="292D60BE"/>
    <w:rsid w:val="2B7F52C5"/>
    <w:rsid w:val="2B995F96"/>
    <w:rsid w:val="34384C9D"/>
    <w:rsid w:val="388A64C7"/>
    <w:rsid w:val="40381AEC"/>
    <w:rsid w:val="42845131"/>
    <w:rsid w:val="47744FDF"/>
    <w:rsid w:val="4A2C259B"/>
    <w:rsid w:val="4A2D1A25"/>
    <w:rsid w:val="4E252B77"/>
    <w:rsid w:val="50931F26"/>
    <w:rsid w:val="5B49748C"/>
    <w:rsid w:val="5C341784"/>
    <w:rsid w:val="5F691A0D"/>
    <w:rsid w:val="67B475D0"/>
    <w:rsid w:val="67BA4749"/>
    <w:rsid w:val="6D846287"/>
    <w:rsid w:val="72E22E65"/>
    <w:rsid w:val="73AD7A2C"/>
    <w:rsid w:val="7B9B4791"/>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napToGrid w:val="0"/>
      <w:spacing w:line="440" w:lineRule="exact"/>
    </w:pPr>
    <w:rPr>
      <w:rFonts w:ascii="Times New Roman" w:eastAsia="Times New Roman"/>
      <w:sz w:val="20"/>
    </w:rPr>
  </w:style>
  <w:style w:type="paragraph" w:styleId="4">
    <w:name w:val="Body Text Indent"/>
    <w:basedOn w:val="1"/>
    <w:next w:val="5"/>
    <w:qFormat/>
    <w:uiPriority w:val="0"/>
    <w:pPr>
      <w:spacing w:after="120"/>
      <w:ind w:left="420" w:leftChars="200"/>
    </w:pPr>
  </w:style>
  <w:style w:type="paragraph" w:styleId="5">
    <w:name w:val="index 7"/>
    <w:basedOn w:val="1"/>
    <w:next w:val="1"/>
    <w:qFormat/>
    <w:uiPriority w:val="0"/>
    <w:pPr>
      <w:ind w:left="2520"/>
    </w:pPr>
  </w:style>
  <w:style w:type="paragraph" w:styleId="6">
    <w:name w:val="index 1"/>
    <w:basedOn w:val="1"/>
    <w:next w:val="1"/>
    <w:qFormat/>
    <w:uiPriority w:val="0"/>
    <w:pPr>
      <w:widowControl w:val="0"/>
      <w:autoSpaceDE/>
      <w:autoSpaceDN/>
      <w:spacing w:before="0" w:after="0" w:line="240" w:lineRule="auto"/>
      <w:ind w:left="0" w:firstLine="5632"/>
      <w:jc w:val="both"/>
    </w:pPr>
  </w:style>
  <w:style w:type="paragraph" w:styleId="7">
    <w:name w:val="Body Text First Indent 2"/>
    <w:basedOn w:val="4"/>
    <w:next w:val="1"/>
    <w:qFormat/>
    <w:uiPriority w:val="0"/>
    <w:pPr>
      <w:ind w:firstLine="4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paragraph" w:customStyle="1" w:styleId="12">
    <w:name w:val="Table Paragraph"/>
    <w:basedOn w:val="1"/>
    <w:qFormat/>
    <w:uiPriority w:val="99"/>
    <w:rPr>
      <w:rFonts w:ascii="宋体" w:hAnsi="宋体" w:cs="宋体"/>
    </w:rPr>
  </w:style>
  <w:style w:type="character" w:customStyle="1" w:styleId="13">
    <w:name w:val="font11"/>
    <w:basedOn w:val="10"/>
    <w:qFormat/>
    <w:uiPriority w:val="0"/>
    <w:rPr>
      <w:rFonts w:hint="eastAsia" w:ascii="仿宋" w:hAnsi="仿宋" w:eastAsia="仿宋" w:cs="仿宋"/>
      <w:color w:val="000000"/>
      <w:sz w:val="30"/>
      <w:szCs w:val="30"/>
      <w:u w:val="none"/>
    </w:rPr>
  </w:style>
  <w:style w:type="paragraph" w:customStyle="1" w:styleId="14">
    <w:name w:val="BodyText"/>
    <w:basedOn w:val="1"/>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4027</Words>
  <Characters>4167</Characters>
  <Lines>0</Lines>
  <Paragraphs>0</Paragraphs>
  <TotalTime>0</TotalTime>
  <ScaleCrop>false</ScaleCrop>
  <LinksUpToDate>false</LinksUpToDate>
  <CharactersWithSpaces>4173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2026-07-16T08:44:29Z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