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96F88">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B045267">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6F4291B8">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128B8963">
      <w:pPr>
        <w:pStyle w:val="6"/>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3"/>
        <w:tblW w:w="851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1"/>
        <w:gridCol w:w="629"/>
        <w:gridCol w:w="2253"/>
        <w:gridCol w:w="1484"/>
        <w:gridCol w:w="1111"/>
        <w:gridCol w:w="1222"/>
        <w:gridCol w:w="1327"/>
      </w:tblGrid>
      <w:tr w14:paraId="1C86D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491" w:type="dxa"/>
            <w:vAlign w:val="center"/>
          </w:tcPr>
          <w:p w14:paraId="21A0FAAD">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629" w:type="dxa"/>
            <w:vAlign w:val="center"/>
          </w:tcPr>
          <w:p w14:paraId="7A846D47">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2253" w:type="dxa"/>
            <w:vAlign w:val="center"/>
          </w:tcPr>
          <w:p w14:paraId="20ABF33C">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1484" w:type="dxa"/>
            <w:vAlign w:val="center"/>
          </w:tcPr>
          <w:p w14:paraId="35B90B7D">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★单价限价（元）</w:t>
            </w:r>
          </w:p>
        </w:tc>
        <w:tc>
          <w:tcPr>
            <w:tcW w:w="1111" w:type="dxa"/>
            <w:vAlign w:val="center"/>
          </w:tcPr>
          <w:p w14:paraId="08E7368E">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数量</w:t>
            </w:r>
          </w:p>
        </w:tc>
        <w:tc>
          <w:tcPr>
            <w:tcW w:w="1222" w:type="dxa"/>
            <w:vAlign w:val="center"/>
          </w:tcPr>
          <w:p w14:paraId="48458231">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1327" w:type="dxa"/>
            <w:vAlign w:val="center"/>
          </w:tcPr>
          <w:p w14:paraId="3581C007">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项目最高限价（元）</w:t>
            </w:r>
          </w:p>
        </w:tc>
      </w:tr>
      <w:tr w14:paraId="42C7C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91" w:type="dxa"/>
            <w:vAlign w:val="center"/>
          </w:tcPr>
          <w:p w14:paraId="03A670A0">
            <w:pPr>
              <w:pStyle w:val="6"/>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629" w:type="dxa"/>
            <w:vAlign w:val="center"/>
          </w:tcPr>
          <w:p w14:paraId="168711DA">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2253" w:type="dxa"/>
            <w:vAlign w:val="center"/>
          </w:tcPr>
          <w:p w14:paraId="38A8367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内江市第一人民医院2026年度人才猎头服务</w:t>
            </w:r>
          </w:p>
        </w:tc>
        <w:tc>
          <w:tcPr>
            <w:tcW w:w="1484" w:type="dxa"/>
            <w:vAlign w:val="center"/>
          </w:tcPr>
          <w:p w14:paraId="441F2EE3">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详见报价要求</w:t>
            </w:r>
          </w:p>
        </w:tc>
        <w:tc>
          <w:tcPr>
            <w:tcW w:w="1111" w:type="dxa"/>
            <w:vAlign w:val="center"/>
          </w:tcPr>
          <w:p w14:paraId="34A16E5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1</w:t>
            </w:r>
          </w:p>
        </w:tc>
        <w:tc>
          <w:tcPr>
            <w:tcW w:w="1222" w:type="dxa"/>
            <w:vAlign w:val="center"/>
          </w:tcPr>
          <w:p w14:paraId="7549F9B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项</w:t>
            </w:r>
          </w:p>
        </w:tc>
        <w:tc>
          <w:tcPr>
            <w:tcW w:w="1327" w:type="dxa"/>
            <w:vAlign w:val="center"/>
          </w:tcPr>
          <w:p w14:paraId="64C3433B">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200000</w:t>
            </w:r>
          </w:p>
        </w:tc>
      </w:tr>
    </w:tbl>
    <w:p w14:paraId="3B66265B">
      <w:pPr>
        <w:pStyle w:val="6"/>
        <w:jc w:val="left"/>
        <w:rPr>
          <w:rFonts w:hint="default" w:ascii="仿宋" w:hAnsi="仿宋" w:eastAsia="仿宋" w:cs="仿宋"/>
          <w:lang w:val="en-US" w:eastAsia="zh-CN"/>
        </w:rPr>
      </w:pPr>
    </w:p>
    <w:p w14:paraId="180CCACA">
      <w:pPr>
        <w:pStyle w:val="6"/>
        <w:jc w:val="left"/>
        <w:outlineLvl w:val="1"/>
        <w:rPr>
          <w:rFonts w:hint="eastAsia" w:ascii="仿宋" w:hAnsi="仿宋" w:eastAsia="仿宋" w:cs="仿宋"/>
          <w:lang w:eastAsia="zh-CN"/>
        </w:rPr>
      </w:pPr>
      <w:r>
        <w:rPr>
          <w:rFonts w:hint="eastAsia" w:ascii="仿宋" w:hAnsi="仿宋" w:eastAsia="仿宋" w:cs="仿宋"/>
          <w:b/>
          <w:sz w:val="28"/>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服务</w:t>
      </w:r>
      <w:r>
        <w:rPr>
          <w:rFonts w:hint="eastAsia" w:ascii="仿宋" w:hAnsi="仿宋" w:eastAsia="仿宋" w:cs="仿宋"/>
          <w:b/>
          <w:sz w:val="28"/>
        </w:rPr>
        <w:t>要求</w:t>
      </w:r>
    </w:p>
    <w:p w14:paraId="08F023E4">
      <w:pPr>
        <w:pStyle w:val="6"/>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p w14:paraId="335C3D3E">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（1）供应商根据采购人的招聘要求（包括但不限于：岗位、招聘人数、所在部门、学历要求、工作经验、技能等要求），利用自身资源和渠道，广泛搜索符合资质的人才。</w:t>
      </w:r>
    </w:p>
    <w:p w14:paraId="6C4A8696">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供应商需积极主动地与采购人沟通候选人招募动态及市场信息，并按照采购人的职位要求推荐合适的人选，在候选人报告中应力求客观、全面地向采购人介绍候选人的情况。同时应客观、全面的向候选人传达采购人的招募要求，让候选人全面了解采购人的岗位要求、工作内容及工作环境等信息。</w:t>
      </w:r>
    </w:p>
    <w:p w14:paraId="29A849EA">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供应商所推荐的候选人应符合职位要求，候选人信息是真实有效的，不得有任何敷衍、欺骗或虚假行为，按要求提供背景调查服务（包括但不限于个人身份信息、教育背景、职业资格证书、工作经历、工作表现、以往人际关系、离职原因及信用记录等），以保证每一位候选人资料的真实可靠性。</w:t>
      </w:r>
    </w:p>
    <w:p w14:paraId="390477EE">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（4）供应商向采购人推荐的候选人若在推荐前已被采购人从其他渠道获得，则被视为无效推荐。若该候选人被中标单位推荐时是采购人首次获得该人员信息，则被视为有效候选人。</w:t>
      </w:r>
    </w:p>
    <w:p w14:paraId="728AF80D">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（5）供应商负责与候选人进行深入沟通，了解其职业意向、薪资期望、工作稳定性、离职原因等关键信息，并对候选人的综合素质、专业能力、沟通能力等进行评估，将相关信息提供给采购人。</w:t>
      </w:r>
    </w:p>
    <w:p w14:paraId="591B2FB3">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（6）供应商须在采购人提供需求岗位后1个月内推荐候选人简历。</w:t>
      </w:r>
    </w:p>
    <w:p w14:paraId="5EAC7832">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（7）当供应商找到采购人所需的候选人，应及时主动地为采购人与候选人协调安排面谈时间和地点，并随时协调采购人与候选人之间的关系，组织双方安排线上/线下面试。</w:t>
      </w:r>
    </w:p>
    <w:p w14:paraId="7224EB96">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（8）协助采购方与候选人进行入职谈判，包括薪资待遇、福利政策、工作条件等，确保双方达成一致意见并签订劳动合同。</w:t>
      </w:r>
    </w:p>
    <w:p w14:paraId="75EBF4F3">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auto"/>
          <w:kern w:val="0"/>
          <w:sz w:val="22"/>
          <w:szCs w:val="22"/>
          <w:highlight w:val="none"/>
          <w:u w:val="none"/>
          <w:lang w:val="en-US" w:eastAsia="zh-CN" w:bidi="ar"/>
        </w:rPr>
      </w:pPr>
      <w:r>
        <w:rPr>
          <w:rFonts w:hint="eastAsia" w:ascii="仿宋" w:hAnsi="仿宋" w:eastAsia="仿宋" w:cs="仿宋"/>
          <w:b w:val="0"/>
          <w:bCs w:val="0"/>
          <w:color w:val="000000"/>
          <w:kern w:val="0"/>
          <w:sz w:val="22"/>
          <w:szCs w:val="22"/>
          <w:u w:val="none"/>
          <w:lang w:val="en-US" w:eastAsia="zh-CN" w:bidi="ar"/>
        </w:rPr>
        <w:t>（9）</w:t>
      </w:r>
      <w:r>
        <w:rPr>
          <w:rFonts w:hint="eastAsia" w:ascii="Times New Roman" w:hAnsi="Times New Roman" w:eastAsia="仿宋" w:cs="Times New Roman"/>
          <w:color w:val="auto"/>
          <w:sz w:val="24"/>
          <w:highlight w:val="none"/>
          <w:shd w:val="clear" w:color="auto" w:fill="auto"/>
          <w:lang w:val="en-US" w:eastAsia="zh-CN"/>
        </w:rPr>
        <w:t>供应商对所推荐并被聘用人员承诺有6个月在职保证期。若在保证期内，因供应商提供的候选人在试用期考核不合格或自身原因导致离职，如自行提出辞职、隐瞒真实情况、能力不足等原因（除采购人架构调整和裁员外），供应商应在候选人离职之日起3个月内重新提供同职称/人才称号及以上职称/人才称号要求的候选人，并负责后续的沟通、评估、背景调查等工作，直至采购人成功录用新的合适人选，该替换职位服务费与前一离职受聘人的已付服务费进行抵扣，若重新推荐候选人职称/人才称号更高，则在其入职1个月后支付抵扣服务费后的差额；如果未能成功重新推荐候选人入职的，则后续的费用不再支付</w:t>
      </w:r>
      <w:r>
        <w:rPr>
          <w:rFonts w:hint="eastAsia" w:ascii="仿宋" w:hAnsi="仿宋" w:eastAsia="仿宋" w:cs="仿宋"/>
          <w:b w:val="0"/>
          <w:bCs w:val="0"/>
          <w:color w:val="auto"/>
          <w:kern w:val="0"/>
          <w:sz w:val="22"/>
          <w:szCs w:val="22"/>
          <w:highlight w:val="none"/>
          <w:u w:val="none"/>
          <w:lang w:val="en-US" w:eastAsia="zh-CN" w:bidi="ar"/>
        </w:rPr>
        <w:t>。</w:t>
      </w:r>
    </w:p>
    <w:p w14:paraId="0E3821FC">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（10）供应商应对采购人提供的任何商业机密、知识产权、技术资料及员工信息保密。</w:t>
      </w:r>
    </w:p>
    <w:p w14:paraId="1A52EDEC">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（11）供应商</w:t>
      </w:r>
      <w:r>
        <w:rPr>
          <w:rFonts w:hint="default" w:ascii="仿宋" w:hAnsi="仿宋" w:eastAsia="仿宋" w:cs="仿宋"/>
          <w:b w:val="0"/>
          <w:bCs w:val="0"/>
          <w:color w:val="000000"/>
          <w:kern w:val="0"/>
          <w:sz w:val="22"/>
          <w:szCs w:val="22"/>
          <w:u w:val="none"/>
          <w:lang w:val="en-US" w:eastAsia="zh-CN" w:bidi="ar"/>
        </w:rPr>
        <w:t>及其工作人员应遵循行业职业道德，</w:t>
      </w:r>
      <w:r>
        <w:rPr>
          <w:rFonts w:hint="eastAsia" w:ascii="仿宋" w:hAnsi="仿宋" w:eastAsia="仿宋" w:cs="仿宋"/>
          <w:b w:val="0"/>
          <w:bCs w:val="0"/>
          <w:color w:val="000000"/>
          <w:kern w:val="0"/>
          <w:sz w:val="22"/>
          <w:szCs w:val="22"/>
          <w:u w:val="none"/>
          <w:lang w:val="en-US" w:eastAsia="zh-CN" w:bidi="ar"/>
        </w:rPr>
        <w:t>服务过程中，不得主动或被动猎取</w:t>
      </w:r>
      <w:r>
        <w:rPr>
          <w:rFonts w:hint="default" w:ascii="仿宋" w:hAnsi="仿宋" w:eastAsia="仿宋" w:cs="仿宋"/>
          <w:b w:val="0"/>
          <w:bCs w:val="0"/>
          <w:color w:val="000000"/>
          <w:kern w:val="0"/>
          <w:sz w:val="22"/>
          <w:szCs w:val="22"/>
          <w:u w:val="none"/>
          <w:lang w:val="en-US" w:eastAsia="zh-CN" w:bidi="ar"/>
        </w:rPr>
        <w:t>采购人员工至其它单位工作</w:t>
      </w:r>
      <w:r>
        <w:rPr>
          <w:rFonts w:hint="eastAsia" w:ascii="仿宋" w:hAnsi="仿宋" w:eastAsia="仿宋" w:cs="仿宋"/>
          <w:b w:val="0"/>
          <w:bCs w:val="0"/>
          <w:color w:val="000000"/>
          <w:kern w:val="0"/>
          <w:sz w:val="22"/>
          <w:szCs w:val="22"/>
          <w:u w:val="none"/>
          <w:lang w:val="en-US" w:eastAsia="zh-CN" w:bidi="ar"/>
        </w:rPr>
        <w:t>，若有类似情况发生，采购人有权立即终止</w:t>
      </w:r>
      <w:r>
        <w:rPr>
          <w:rFonts w:hint="eastAsia" w:ascii="仿宋" w:hAnsi="仿宋" w:eastAsia="仿宋" w:cs="仿宋"/>
          <w:b w:val="0"/>
          <w:bCs w:val="0"/>
          <w:color w:val="000000"/>
          <w:kern w:val="0"/>
          <w:sz w:val="22"/>
          <w:szCs w:val="22"/>
          <w:u w:val="none"/>
          <w:lang w:val="en-US" w:eastAsia="zh-Hans" w:bidi="ar"/>
        </w:rPr>
        <w:t>服务</w:t>
      </w:r>
      <w:r>
        <w:rPr>
          <w:rFonts w:hint="eastAsia" w:ascii="仿宋" w:hAnsi="仿宋" w:eastAsia="仿宋" w:cs="仿宋"/>
          <w:b w:val="0"/>
          <w:bCs w:val="0"/>
          <w:color w:val="000000"/>
          <w:kern w:val="0"/>
          <w:sz w:val="22"/>
          <w:szCs w:val="22"/>
          <w:u w:val="none"/>
          <w:lang w:val="en-US" w:eastAsia="zh-CN" w:bidi="ar"/>
        </w:rPr>
        <w:t>合同，且不再支付合同剩余需要支付的费用，并保留追偿供应商因此造成的经济损失的权利。</w:t>
      </w:r>
    </w:p>
    <w:p w14:paraId="4861226B">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12）供应商在服务过程中应当完全按照《人力资源市场暂行条例》《中华人民共和国就业促进法》《中华人民共和国劳动法》《中华人民共和国劳动合同法》等相关行业及法律法规执行。（本条所要求的法律法规要求，如有废止的，则以现行有效的法规为准；如有更新的，则以更新后最新版本为准。）</w:t>
      </w:r>
    </w:p>
    <w:p w14:paraId="1CF198CA">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（13）服务人员要求</w:t>
      </w:r>
    </w:p>
    <w:p w14:paraId="71F8A2CB">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13.1供应商应至少派一名医疗行业猎头经验、熟悉医疗行业中高端人才特点的人员作为采购人专属服务顾问，在服务期间变更人员应取得采购人同意。</w:t>
      </w:r>
    </w:p>
    <w:p w14:paraId="4478E5BB">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13.2供应商拟派的项目负责人至少具有2年以上猎头合作经验，且具有全日制大专及以上学历。</w:t>
      </w:r>
    </w:p>
    <w:p w14:paraId="4BB77597">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p>
    <w:p w14:paraId="5425DEB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商务要求</w:t>
      </w:r>
    </w:p>
    <w:p w14:paraId="58C6FE90">
      <w:pPr>
        <w:widowControl w:val="0"/>
        <w:numPr>
          <w:ilvl w:val="-1"/>
          <w:numId w:val="0"/>
        </w:numPr>
        <w:spacing w:line="240" w:lineRule="auto"/>
        <w:jc w:val="left"/>
        <w:rPr>
          <w:rFonts w:hint="eastAsia" w:ascii="仿宋" w:hAnsi="仿宋" w:eastAsia="仿宋" w:cs="仿宋"/>
          <w:color w:val="auto"/>
          <w:kern w:val="2"/>
          <w:sz w:val="22"/>
          <w:szCs w:val="22"/>
          <w:highlight w:val="none"/>
          <w:shd w:val="clear" w:color="auto" w:fill="auto"/>
          <w:lang w:val="en-US" w:eastAsia="zh-CN" w:bidi="ar-SA"/>
        </w:rPr>
      </w:pPr>
      <w:r>
        <w:rPr>
          <w:rFonts w:hint="eastAsia" w:ascii="仿宋" w:hAnsi="仿宋" w:eastAsia="仿宋" w:cs="仿宋"/>
          <w:color w:val="auto"/>
          <w:kern w:val="2"/>
          <w:sz w:val="22"/>
          <w:szCs w:val="22"/>
          <w:highlight w:val="none"/>
          <w:shd w:val="clear" w:color="auto" w:fill="auto"/>
          <w:lang w:val="en-US" w:eastAsia="zh-CN" w:bidi="ar-SA"/>
        </w:rPr>
        <w:t>（1）</w:t>
      </w:r>
      <w:r>
        <w:rPr>
          <w:rFonts w:hint="eastAsia" w:ascii="仿宋" w:hAnsi="仿宋" w:eastAsia="仿宋" w:cs="仿宋"/>
          <w:color w:val="auto"/>
          <w:kern w:val="2"/>
          <w:sz w:val="22"/>
          <w:szCs w:val="22"/>
          <w:highlight w:val="none"/>
          <w:shd w:val="clear" w:color="auto" w:fill="auto"/>
          <w:lang w:val="en-US" w:eastAsia="zh-Hans" w:bidi="ar-SA"/>
        </w:rPr>
        <w:t>本项目</w:t>
      </w:r>
      <w:r>
        <w:rPr>
          <w:rFonts w:hint="eastAsia" w:ascii="仿宋" w:hAnsi="仿宋" w:eastAsia="仿宋" w:cs="仿宋"/>
          <w:color w:val="auto"/>
          <w:kern w:val="2"/>
          <w:sz w:val="22"/>
          <w:szCs w:val="22"/>
          <w:highlight w:val="none"/>
          <w:shd w:val="clear" w:color="auto" w:fill="auto"/>
          <w:lang w:val="en-US" w:eastAsia="zh-CN" w:bidi="ar-SA"/>
        </w:rPr>
        <w:t>服务期限/</w:t>
      </w:r>
      <w:r>
        <w:rPr>
          <w:rFonts w:hint="eastAsia" w:ascii="仿宋" w:hAnsi="仿宋" w:eastAsia="仿宋" w:cs="仿宋"/>
          <w:color w:val="auto"/>
          <w:kern w:val="2"/>
          <w:sz w:val="22"/>
          <w:szCs w:val="22"/>
          <w:highlight w:val="none"/>
          <w:shd w:val="clear" w:color="auto" w:fill="auto"/>
          <w:lang w:val="en-US" w:eastAsia="zh-Hans" w:bidi="ar-SA"/>
        </w:rPr>
        <w:t>合同期限</w:t>
      </w:r>
      <w:r>
        <w:rPr>
          <w:rFonts w:hint="eastAsia" w:ascii="仿宋" w:hAnsi="仿宋" w:eastAsia="仿宋" w:cs="仿宋"/>
          <w:color w:val="auto"/>
          <w:kern w:val="2"/>
          <w:sz w:val="22"/>
          <w:szCs w:val="22"/>
          <w:highlight w:val="none"/>
          <w:shd w:val="clear" w:color="auto" w:fill="auto"/>
          <w:lang w:val="en-US" w:eastAsia="zh-CN" w:bidi="ar-SA"/>
        </w:rPr>
        <w:t>：一年。</w:t>
      </w:r>
      <w:r>
        <w:rPr>
          <w:rFonts w:hint="eastAsia" w:ascii="仿宋" w:hAnsi="仿宋" w:eastAsia="仿宋" w:cs="仿宋"/>
          <w:color w:val="auto"/>
          <w:kern w:val="2"/>
          <w:sz w:val="22"/>
          <w:szCs w:val="22"/>
          <w:highlight w:val="none"/>
          <w:shd w:val="clear" w:color="auto" w:fill="auto"/>
          <w:lang w:val="en-US" w:eastAsia="zh-CN" w:bidi="ar-SA"/>
        </w:rPr>
        <w:br w:type="textWrapping"/>
      </w:r>
      <w:r>
        <w:rPr>
          <w:rFonts w:hint="eastAsia" w:ascii="仿宋" w:hAnsi="仿宋" w:eastAsia="仿宋" w:cs="仿宋"/>
          <w:color w:val="auto"/>
          <w:kern w:val="2"/>
          <w:sz w:val="22"/>
          <w:szCs w:val="22"/>
          <w:highlight w:val="none"/>
          <w:shd w:val="clear" w:color="auto" w:fill="auto"/>
          <w:lang w:val="en-US" w:eastAsia="zh-CN" w:bidi="ar-SA"/>
        </w:rPr>
        <w:t>（2）报价要求：</w:t>
      </w:r>
    </w:p>
    <w:tbl>
      <w:tblPr>
        <w:tblStyle w:val="4"/>
        <w:tblW w:w="7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50"/>
        <w:gridCol w:w="1267"/>
        <w:gridCol w:w="2284"/>
      </w:tblGrid>
      <w:tr w14:paraId="6B46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897" w:type="dxa"/>
            <w:vAlign w:val="center"/>
          </w:tcPr>
          <w:p w14:paraId="58BCE262">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序号</w:t>
            </w:r>
          </w:p>
        </w:tc>
        <w:tc>
          <w:tcPr>
            <w:tcW w:w="3250" w:type="dxa"/>
            <w:vAlign w:val="center"/>
          </w:tcPr>
          <w:p w14:paraId="384DA8B0">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职称</w:t>
            </w:r>
          </w:p>
        </w:tc>
        <w:tc>
          <w:tcPr>
            <w:tcW w:w="1267" w:type="dxa"/>
            <w:vAlign w:val="center"/>
          </w:tcPr>
          <w:p w14:paraId="50AD1DD1">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学位</w:t>
            </w:r>
          </w:p>
        </w:tc>
        <w:tc>
          <w:tcPr>
            <w:tcW w:w="2284" w:type="dxa"/>
            <w:vAlign w:val="center"/>
          </w:tcPr>
          <w:p w14:paraId="5C42B4B1">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单价</w:t>
            </w:r>
            <w:r>
              <w:rPr>
                <w:rFonts w:hint="eastAsia" w:ascii="仿宋" w:hAnsi="仿宋" w:eastAsia="仿宋" w:cs="仿宋"/>
                <w:kern w:val="2"/>
                <w:sz w:val="22"/>
                <w:szCs w:val="22"/>
                <w:vertAlign w:val="baseline"/>
                <w:lang w:val="en-US" w:eastAsia="zh-Hans" w:bidi="ar-SA"/>
              </w:rPr>
              <w:t>最高</w:t>
            </w:r>
            <w:r>
              <w:rPr>
                <w:rFonts w:hint="eastAsia" w:ascii="仿宋" w:hAnsi="仿宋" w:eastAsia="仿宋" w:cs="仿宋"/>
                <w:kern w:val="2"/>
                <w:sz w:val="22"/>
                <w:szCs w:val="22"/>
                <w:vertAlign w:val="baseline"/>
                <w:lang w:val="en-US" w:eastAsia="zh-CN" w:bidi="ar-SA"/>
              </w:rPr>
              <w:t>限价（万元/人）</w:t>
            </w:r>
          </w:p>
        </w:tc>
      </w:tr>
      <w:tr w14:paraId="5BC0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11BB78D8">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1</w:t>
            </w:r>
          </w:p>
        </w:tc>
        <w:tc>
          <w:tcPr>
            <w:tcW w:w="3250" w:type="dxa"/>
            <w:vAlign w:val="center"/>
          </w:tcPr>
          <w:p w14:paraId="0A0174F0">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中级职称</w:t>
            </w:r>
          </w:p>
        </w:tc>
        <w:tc>
          <w:tcPr>
            <w:tcW w:w="1267" w:type="dxa"/>
            <w:vAlign w:val="center"/>
          </w:tcPr>
          <w:p w14:paraId="600A410F">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博士</w:t>
            </w:r>
          </w:p>
        </w:tc>
        <w:tc>
          <w:tcPr>
            <w:tcW w:w="2284" w:type="dxa"/>
            <w:vAlign w:val="center"/>
          </w:tcPr>
          <w:p w14:paraId="55B01649">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2.00</w:t>
            </w:r>
          </w:p>
        </w:tc>
      </w:tr>
      <w:tr w14:paraId="4D29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31850600">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2</w:t>
            </w:r>
          </w:p>
        </w:tc>
        <w:tc>
          <w:tcPr>
            <w:tcW w:w="3250" w:type="dxa"/>
            <w:vAlign w:val="center"/>
          </w:tcPr>
          <w:p w14:paraId="7EE096A3">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副高级职称</w:t>
            </w:r>
          </w:p>
        </w:tc>
        <w:tc>
          <w:tcPr>
            <w:tcW w:w="1267" w:type="dxa"/>
            <w:vAlign w:val="center"/>
          </w:tcPr>
          <w:p w14:paraId="69D2C47E">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博士</w:t>
            </w:r>
          </w:p>
        </w:tc>
        <w:tc>
          <w:tcPr>
            <w:tcW w:w="2284" w:type="dxa"/>
            <w:vAlign w:val="center"/>
          </w:tcPr>
          <w:p w14:paraId="55218759">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4.00</w:t>
            </w:r>
          </w:p>
        </w:tc>
      </w:tr>
      <w:tr w14:paraId="1D9A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1CBD879F">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3</w:t>
            </w:r>
          </w:p>
        </w:tc>
        <w:tc>
          <w:tcPr>
            <w:tcW w:w="3250" w:type="dxa"/>
            <w:vAlign w:val="center"/>
          </w:tcPr>
          <w:p w14:paraId="70560C74">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正高级职称</w:t>
            </w:r>
          </w:p>
        </w:tc>
        <w:tc>
          <w:tcPr>
            <w:tcW w:w="1267" w:type="dxa"/>
            <w:vAlign w:val="center"/>
          </w:tcPr>
          <w:p w14:paraId="3B161D9E">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博士</w:t>
            </w:r>
          </w:p>
        </w:tc>
        <w:tc>
          <w:tcPr>
            <w:tcW w:w="2284" w:type="dxa"/>
            <w:vAlign w:val="center"/>
          </w:tcPr>
          <w:p w14:paraId="44190D6B">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5.00</w:t>
            </w:r>
          </w:p>
        </w:tc>
      </w:tr>
      <w:tr w14:paraId="1E5D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7" w:type="dxa"/>
            <w:vAlign w:val="center"/>
          </w:tcPr>
          <w:p w14:paraId="125DC079">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4</w:t>
            </w:r>
          </w:p>
        </w:tc>
        <w:tc>
          <w:tcPr>
            <w:tcW w:w="3250" w:type="dxa"/>
            <w:vAlign w:val="center"/>
          </w:tcPr>
          <w:p w14:paraId="6EAC7F1D">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省学术和技术带头人后备人选，省卫生健康英才计划首席专家、领军人才，享受国务院政府特殊津贴专家或其他相当于上述层次的人才</w:t>
            </w:r>
          </w:p>
        </w:tc>
        <w:tc>
          <w:tcPr>
            <w:tcW w:w="1267" w:type="dxa"/>
            <w:vAlign w:val="center"/>
          </w:tcPr>
          <w:p w14:paraId="710D1525">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博士</w:t>
            </w:r>
          </w:p>
        </w:tc>
        <w:tc>
          <w:tcPr>
            <w:tcW w:w="2284" w:type="dxa"/>
            <w:vAlign w:val="center"/>
          </w:tcPr>
          <w:p w14:paraId="7E7A7A02">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8.00</w:t>
            </w:r>
          </w:p>
        </w:tc>
      </w:tr>
      <w:tr w14:paraId="0B15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97" w:type="dxa"/>
            <w:vAlign w:val="center"/>
          </w:tcPr>
          <w:p w14:paraId="601172AC">
            <w:pPr>
              <w:widowControl w:val="0"/>
              <w:spacing w:line="240" w:lineRule="auto"/>
              <w:jc w:val="center"/>
              <w:rPr>
                <w:rFonts w:hint="eastAsia" w:ascii="仿宋" w:hAnsi="仿宋" w:eastAsia="仿宋" w:cs="仿宋"/>
                <w:kern w:val="2"/>
                <w:sz w:val="22"/>
                <w:szCs w:val="22"/>
                <w:highlight w:val="none"/>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5</w:t>
            </w:r>
          </w:p>
        </w:tc>
        <w:tc>
          <w:tcPr>
            <w:tcW w:w="3250" w:type="dxa"/>
            <w:vAlign w:val="center"/>
          </w:tcPr>
          <w:p w14:paraId="33F1C1A0">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省学术和技术带头人，“天府峨眉计划”领军人才，“天府青城计划”领军人才或其他相当于及高于上述层次的人才</w:t>
            </w:r>
          </w:p>
        </w:tc>
        <w:tc>
          <w:tcPr>
            <w:tcW w:w="1267" w:type="dxa"/>
            <w:vAlign w:val="center"/>
          </w:tcPr>
          <w:p w14:paraId="37E50CE4">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博士</w:t>
            </w:r>
          </w:p>
        </w:tc>
        <w:tc>
          <w:tcPr>
            <w:tcW w:w="2284" w:type="dxa"/>
            <w:vAlign w:val="center"/>
          </w:tcPr>
          <w:p w14:paraId="41D2C222">
            <w:pPr>
              <w:widowControl w:val="0"/>
              <w:spacing w:line="240" w:lineRule="auto"/>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10.00</w:t>
            </w:r>
          </w:p>
        </w:tc>
      </w:tr>
      <w:tr w14:paraId="47D6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7698" w:type="dxa"/>
            <w:gridSpan w:val="4"/>
            <w:vAlign w:val="center"/>
          </w:tcPr>
          <w:p w14:paraId="08D5C4F8">
            <w:pPr>
              <w:widowControl w:val="0"/>
              <w:spacing w:line="240" w:lineRule="auto"/>
              <w:ind w:firstLine="440" w:firstLineChars="200"/>
              <w:jc w:val="both"/>
              <w:rPr>
                <w:rFonts w:hint="eastAsia"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highlight w:val="none"/>
                <w:vertAlign w:val="baseline"/>
                <w:lang w:val="en-US" w:eastAsia="zh-CN" w:bidi="ar-SA"/>
              </w:rPr>
              <w:t>供应商</w:t>
            </w:r>
            <w:r>
              <w:rPr>
                <w:rFonts w:hint="eastAsia" w:ascii="仿宋" w:hAnsi="仿宋" w:eastAsia="仿宋" w:cs="仿宋"/>
                <w:kern w:val="2"/>
                <w:sz w:val="22"/>
                <w:szCs w:val="22"/>
                <w:vertAlign w:val="baseline"/>
                <w:lang w:val="en-US" w:eastAsia="zh-CN" w:bidi="ar-SA"/>
              </w:rPr>
              <w:t>根据上述对应的职称报价标准报出统一下浮率。成交单价为单价限价*（1-统一下浮率）。供应商所报单价是其响应本项目要求的全部工作内容的价格体现，包括供应商完成本项目所需的一切单价，包含但不限于：人工、差旅、保险、税金、利润、风险、采购代理服务费和与本项目相关的可预见及不可预见的所需要的其他所有费用，采购人不再向成交供应商支付其他任何额外的费用。</w:t>
            </w:r>
          </w:p>
        </w:tc>
      </w:tr>
    </w:tbl>
    <w:p w14:paraId="1713FFBA">
      <w:pPr>
        <w:rPr>
          <w:rFonts w:hint="eastAsia" w:ascii="仿宋" w:hAnsi="仿宋" w:eastAsia="仿宋" w:cs="仿宋"/>
          <w:sz w:val="22"/>
          <w:szCs w:val="22"/>
        </w:rPr>
      </w:pPr>
    </w:p>
    <w:p w14:paraId="49D50E63">
      <w:pPr>
        <w:spacing w:line="240" w:lineRule="auto"/>
        <w:ind w:firstLine="440" w:firstLineChars="200"/>
        <w:jc w:val="left"/>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kern w:val="2"/>
          <w:sz w:val="22"/>
          <w:szCs w:val="22"/>
          <w:highlight w:val="none"/>
          <w:shd w:val="clear" w:color="auto" w:fill="auto"/>
          <w:lang w:val="en-US" w:eastAsia="zh-CN" w:bidi="ar-SA"/>
        </w:rPr>
        <w:t>（3）付款方式：根据实际入职人数进行分段支付，若未能成功推荐候选人入职的，采购人则不支付相应费用。成功推荐候选人入职，在候选人入职1个月后，采购人20日内向成交供应商支付相对应职称成交单价的50%，待候选人入职6个月后，采购人20日内向成交供应商支付成交单价余下的50%；若候选人未满6个月离职且供应商未重新推荐候选人入职，则不支付余下费用。</w:t>
      </w:r>
    </w:p>
    <w:p w14:paraId="183B7033">
      <w:pPr>
        <w:spacing w:line="400" w:lineRule="exact"/>
        <w:ind w:firstLine="442" w:firstLineChars="200"/>
        <w:rPr>
          <w:rFonts w:hint="eastAsia" w:ascii="仿宋" w:hAnsi="仿宋" w:eastAsia="仿宋" w:cs="仿宋"/>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注：每次付款前，供应商应提供合法有效且符合采购人要求的发票；若供应商未提供符合采购人要求的支付票据资料，采购人有权拒绝付款且不构成违约。</w:t>
      </w:r>
    </w:p>
    <w:p w14:paraId="24AFE060">
      <w:pPr>
        <w:numPr>
          <w:ilvl w:val="0"/>
          <w:numId w:val="0"/>
        </w:numPr>
        <w:ind w:firstLine="440" w:firstLineChars="200"/>
        <w:rPr>
          <w:rFonts w:hint="eastAsia" w:ascii="仿宋" w:hAnsi="仿宋" w:eastAsia="仿宋" w:cs="仿宋"/>
          <w:color w:val="auto"/>
          <w:kern w:val="2"/>
          <w:sz w:val="22"/>
          <w:szCs w:val="22"/>
          <w:highlight w:val="none"/>
          <w:shd w:val="clear" w:color="auto" w:fill="auto"/>
          <w:lang w:val="en-US" w:eastAsia="zh-CN" w:bidi="ar-SA"/>
        </w:rPr>
      </w:pPr>
      <w:r>
        <w:rPr>
          <w:rFonts w:hint="eastAsia" w:ascii="仿宋" w:hAnsi="仿宋" w:eastAsia="仿宋" w:cs="仿宋"/>
          <w:color w:val="auto"/>
          <w:kern w:val="2"/>
          <w:sz w:val="22"/>
          <w:szCs w:val="22"/>
          <w:highlight w:val="none"/>
          <w:shd w:val="clear" w:color="auto" w:fill="auto"/>
          <w:lang w:val="en-US" w:eastAsia="zh-CN" w:bidi="ar-SA"/>
        </w:rPr>
        <w:t>（4）在合同履行期间，供应商应优先推荐候选人给采购人，不能将采购人有意愿引进的候选人同时推荐给除采购人以外的本市其他医疗机构，否则采购人有权单方面终止合同，并要求供应商支付采购预算30%的违约金。</w:t>
      </w:r>
    </w:p>
    <w:p w14:paraId="4A74848C">
      <w:pPr>
        <w:numPr>
          <w:ilvl w:val="0"/>
          <w:numId w:val="0"/>
        </w:numPr>
        <w:ind w:firstLine="440" w:firstLineChars="200"/>
        <w:rPr>
          <w:rFonts w:hint="eastAsia" w:ascii="仿宋" w:hAnsi="仿宋" w:eastAsia="仿宋" w:cs="仿宋"/>
          <w:sz w:val="22"/>
          <w:szCs w:val="22"/>
          <w:highlight w:val="none"/>
          <w:lang w:val="en-US" w:eastAsia="zh-CN"/>
        </w:rPr>
      </w:pPr>
      <w:r>
        <w:rPr>
          <w:rFonts w:hint="eastAsia" w:ascii="仿宋" w:hAnsi="仿宋" w:eastAsia="仿宋" w:cs="仿宋"/>
          <w:kern w:val="2"/>
          <w:sz w:val="22"/>
          <w:szCs w:val="22"/>
          <w:lang w:val="en-US" w:eastAsia="zh-CN" w:bidi="ar-SA"/>
        </w:rPr>
        <w:t>（5）</w:t>
      </w:r>
      <w:r>
        <w:rPr>
          <w:rFonts w:hint="eastAsia" w:ascii="仿宋" w:hAnsi="仿宋" w:eastAsia="仿宋" w:cs="仿宋"/>
          <w:color w:val="auto"/>
          <w:sz w:val="22"/>
          <w:szCs w:val="22"/>
          <w:highlight w:val="none"/>
          <w:shd w:val="clear" w:color="auto" w:fill="auto"/>
          <w:lang w:val="en-US" w:eastAsia="zh-CN"/>
        </w:rPr>
        <w:t>验收方法和标准：参照政府采购相关法律法规以及《财政部关于进一步加强政府采购需求和履约验收管理的指导意见》（财库〔2016〕205号）的要求、采购文件的质量要求和技术指标、成交供应商的响应文件及承诺以及合同约定标准进行验收。</w:t>
      </w:r>
    </w:p>
    <w:p w14:paraId="3B645172">
      <w:pPr>
        <w:pStyle w:val="6"/>
        <w:ind w:firstLine="480"/>
        <w:jc w:val="left"/>
        <w:rPr>
          <w:rFonts w:hint="eastAsia" w:ascii="仿宋" w:hAnsi="仿宋" w:eastAsia="仿宋" w:cs="仿宋"/>
          <w:color w:val="auto"/>
          <w:sz w:val="22"/>
          <w:szCs w:val="22"/>
          <w:highlight w:val="none"/>
          <w:u w:val="none"/>
          <w:shd w:val="clear" w:color="auto" w:fill="auto"/>
          <w:lang w:val="en-US" w:eastAsia="zh-CN"/>
        </w:rPr>
      </w:pPr>
      <w:r>
        <w:rPr>
          <w:rFonts w:hint="eastAsia" w:ascii="仿宋" w:hAnsi="仿宋" w:eastAsia="仿宋" w:cs="仿宋"/>
          <w:color w:val="auto"/>
          <w:sz w:val="22"/>
          <w:szCs w:val="22"/>
          <w:highlight w:val="none"/>
          <w:u w:val="none"/>
          <w:shd w:val="clear" w:color="auto" w:fill="auto"/>
          <w:lang w:val="en-US" w:eastAsia="zh-CN"/>
        </w:rPr>
        <w:t>（6）违约责任与解决争议的方法：在执行本项目中发生的或与本项目有关的争端，双方应通过友好协商解决，经协商在30天内不能达成协议时，可向采购人住所地</w:t>
      </w:r>
      <w:r>
        <w:rPr>
          <w:rFonts w:hint="eastAsia" w:ascii="仿宋" w:hAnsi="仿宋" w:eastAsia="仿宋" w:cs="仿宋"/>
          <w:color w:val="auto"/>
          <w:sz w:val="22"/>
          <w:szCs w:val="22"/>
          <w:highlight w:val="none"/>
          <w:u w:val="none"/>
          <w:shd w:val="clear" w:color="auto" w:fill="auto"/>
          <w:lang w:eastAsia="zh-CN"/>
        </w:rPr>
        <w:t>人民法院提起诉讼</w:t>
      </w:r>
      <w:r>
        <w:rPr>
          <w:rFonts w:hint="eastAsia" w:ascii="仿宋" w:hAnsi="仿宋" w:eastAsia="仿宋" w:cs="仿宋"/>
          <w:color w:val="auto"/>
          <w:sz w:val="22"/>
          <w:szCs w:val="22"/>
          <w:highlight w:val="none"/>
          <w:u w:val="none"/>
          <w:shd w:val="clear" w:color="auto" w:fill="auto"/>
          <w:lang w:val="en-US" w:eastAsia="zh-CN"/>
        </w:rPr>
        <w:t>人民法院提起诉讼解决争议。</w:t>
      </w:r>
    </w:p>
    <w:p w14:paraId="5CDDB491">
      <w:pPr>
        <w:pStyle w:val="6"/>
        <w:ind w:firstLine="480"/>
        <w:jc w:val="left"/>
        <w:rPr>
          <w:rFonts w:hint="eastAsia" w:ascii="仿宋" w:hAnsi="仿宋" w:eastAsia="仿宋" w:cs="仿宋"/>
          <w:color w:val="auto"/>
          <w:sz w:val="22"/>
          <w:szCs w:val="22"/>
          <w:highlight w:val="none"/>
          <w:u w:val="none"/>
          <w:shd w:val="clear" w:color="auto" w:fill="auto"/>
          <w:lang w:val="en-US" w:eastAsia="zh-CN"/>
        </w:rPr>
      </w:pPr>
      <w:r>
        <w:rPr>
          <w:rFonts w:hint="eastAsia" w:ascii="仿宋" w:hAnsi="仿宋" w:eastAsia="仿宋" w:cs="仿宋"/>
          <w:color w:val="auto"/>
          <w:sz w:val="22"/>
          <w:szCs w:val="22"/>
          <w:highlight w:val="none"/>
          <w:u w:val="none"/>
          <w:shd w:val="clear" w:color="auto" w:fill="auto"/>
          <w:lang w:val="en-US" w:eastAsia="zh-CN"/>
        </w:rPr>
        <w:t>（7）缔约过失责任：</w:t>
      </w:r>
    </w:p>
    <w:p w14:paraId="5A0B0820">
      <w:pPr>
        <w:pStyle w:val="6"/>
        <w:ind w:firstLine="480"/>
        <w:jc w:val="left"/>
        <w:rPr>
          <w:rFonts w:hint="eastAsia" w:ascii="仿宋" w:hAnsi="仿宋" w:eastAsia="仿宋" w:cs="仿宋"/>
          <w:color w:val="auto"/>
          <w:sz w:val="22"/>
          <w:szCs w:val="22"/>
          <w:highlight w:val="none"/>
          <w:u w:val="none"/>
          <w:shd w:val="clear" w:color="auto" w:fill="auto"/>
          <w:lang w:val="en-US" w:eastAsia="zh-CN"/>
        </w:rPr>
      </w:pPr>
      <w:r>
        <w:rPr>
          <w:rFonts w:hint="eastAsia" w:ascii="仿宋" w:hAnsi="仿宋" w:eastAsia="仿宋" w:cs="仿宋"/>
          <w:color w:val="auto"/>
          <w:sz w:val="22"/>
          <w:szCs w:val="22"/>
          <w:highlight w:val="none"/>
          <w:u w:val="none"/>
          <w:shd w:val="clear" w:color="auto" w:fill="auto"/>
          <w:lang w:val="en-US" w:eastAsia="zh-CN"/>
        </w:rPr>
        <w:t>供应商无正当理由未能在规定时间内与采购人签订合同的，需向采购人支付中标（成交）金额20%的赔偿金。赔偿金不足以弥补采购人全部损失的，还应赔偿采购人全部损失；</w:t>
      </w:r>
    </w:p>
    <w:p w14:paraId="6DC06292">
      <w:pPr>
        <w:rPr>
          <w:rFonts w:hint="eastAsia"/>
          <w:lang w:val="en-US" w:eastAsia="zh-Hans"/>
        </w:rPr>
      </w:pPr>
      <w:r>
        <w:rPr>
          <w:rFonts w:hint="eastAsia" w:ascii="仿宋" w:hAnsi="仿宋" w:eastAsia="仿宋" w:cs="仿宋"/>
          <w:color w:val="auto"/>
          <w:sz w:val="22"/>
          <w:szCs w:val="22"/>
          <w:highlight w:val="none"/>
          <w:u w:val="none"/>
          <w:shd w:val="clear" w:color="auto" w:fill="auto"/>
          <w:lang w:val="en-US" w:eastAsia="zh-CN"/>
        </w:rPr>
        <w:t>若投标供应商提交的投标(响应)文件存在虚假材料或虚假响应的情况，投标供应商应向采购人支付本项目预算金额30%的赔偿金。</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97A41"/>
    <w:rsid w:val="02A816B2"/>
    <w:rsid w:val="077F66F5"/>
    <w:rsid w:val="0AE20369"/>
    <w:rsid w:val="0FBE6E80"/>
    <w:rsid w:val="108B406B"/>
    <w:rsid w:val="17E8357A"/>
    <w:rsid w:val="1ACE595C"/>
    <w:rsid w:val="1D6E72C9"/>
    <w:rsid w:val="2D666B35"/>
    <w:rsid w:val="2DD262C3"/>
    <w:rsid w:val="312E4E5B"/>
    <w:rsid w:val="3605102C"/>
    <w:rsid w:val="368372FD"/>
    <w:rsid w:val="3E441D93"/>
    <w:rsid w:val="408C390F"/>
    <w:rsid w:val="4EE35A4E"/>
    <w:rsid w:val="55DA3FC2"/>
    <w:rsid w:val="5D2D4643"/>
    <w:rsid w:val="6B3117C7"/>
    <w:rsid w:val="6E682869"/>
    <w:rsid w:val="716442F4"/>
    <w:rsid w:val="71D0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2559</Words>
  <Characters>2624</Characters>
  <Lines>0</Lines>
  <Paragraphs>0</Paragraphs>
  <TotalTime>0</TotalTime>
  <ScaleCrop>false</ScaleCrop>
  <LinksUpToDate>false</LinksUpToDate>
  <CharactersWithSpaces>2625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lz</cp:lastModifiedBy>
  <dcterms:modified xsi:type="dcterms:W3CDTF">2026-07-15T08:47:10Z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