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E7944">
      <w:pPr>
        <w:pStyle w:val="6"/>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308EBF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（注：本章的技术、服务及其他要求中，带“★”的要求为实质性要求。采购人、代理机构应当根据项目实际要求合理设定，并在第五章符合性审查中明确响应要求。）</w:t>
      </w:r>
    </w:p>
    <w:p w14:paraId="109A207A">
      <w:pPr>
        <w:pStyle w:val="6"/>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7CD351E8">
      <w:pPr>
        <w:pStyle w:val="6"/>
        <w:jc w:val="left"/>
        <w:outlineLvl w:val="2"/>
        <w:rPr>
          <w:rFonts w:hint="eastAsia" w:ascii="仿宋" w:hAnsi="仿宋" w:eastAsia="仿宋" w:cs="仿宋"/>
          <w:b/>
          <w:bCs/>
          <w:i w:val="0"/>
          <w:iCs w:val="0"/>
          <w:highlight w:val="none"/>
        </w:rPr>
      </w:pPr>
      <w:r>
        <w:rPr>
          <w:rFonts w:hint="eastAsia" w:ascii="仿宋" w:hAnsi="仿宋" w:eastAsia="仿宋" w:cs="仿宋"/>
          <w:b/>
          <w:bCs/>
          <w:i w:val="0"/>
          <w:iCs w:val="0"/>
          <w:sz w:val="24"/>
          <w:szCs w:val="24"/>
          <w:highlight w:val="none"/>
        </w:rPr>
        <w:t>采购包1：</w:t>
      </w:r>
    </w:p>
    <w:p w14:paraId="12EC8D6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★本项目提供的产品，必须为“四川省药品和医用耗材招采管理系统”中已挂网产品（不含正在挂网和备案的产品）。</w:t>
      </w:r>
    </w:p>
    <w:p w14:paraId="06BA387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p>
    <w:tbl>
      <w:tblPr>
        <w:tblStyle w:val="3"/>
        <w:tblW w:w="88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07"/>
        <w:gridCol w:w="619"/>
        <w:gridCol w:w="1779"/>
        <w:gridCol w:w="1437"/>
        <w:gridCol w:w="1513"/>
        <w:gridCol w:w="1112"/>
        <w:gridCol w:w="1763"/>
      </w:tblGrid>
      <w:tr w14:paraId="3DEFA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5" w:hRule="atLeast"/>
        </w:trPr>
        <w:tc>
          <w:tcPr>
            <w:tcW w:w="607"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AD6ECFE">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包号</w:t>
            </w:r>
          </w:p>
        </w:tc>
        <w:tc>
          <w:tcPr>
            <w:tcW w:w="619"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88D167D">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编号</w:t>
            </w:r>
          </w:p>
        </w:tc>
        <w:tc>
          <w:tcPr>
            <w:tcW w:w="1779"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BFEEA31">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标的名称</w:t>
            </w:r>
          </w:p>
        </w:tc>
        <w:tc>
          <w:tcPr>
            <w:tcW w:w="1437"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5AF3F58">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最高单价限价（</w:t>
            </w:r>
            <w:r>
              <w:rPr>
                <w:rFonts w:hint="default" w:ascii="Times New Roman" w:hAnsi="Times New Roman" w:eastAsia="仿宋" w:cs="Times New Roman"/>
                <w:b/>
                <w:bCs/>
                <w:color w:val="auto"/>
                <w:sz w:val="18"/>
                <w:szCs w:val="18"/>
                <w:highlight w:val="none"/>
                <w:shd w:val="clear" w:color="auto" w:fill="auto"/>
                <w:lang w:val="en-US" w:eastAsia="zh-CN"/>
              </w:rPr>
              <w:t>元</w:t>
            </w:r>
            <w:r>
              <w:rPr>
                <w:rFonts w:hint="eastAsia" w:ascii="Times New Roman" w:hAnsi="Times New Roman" w:eastAsia="仿宋" w:cs="Times New Roman"/>
                <w:b/>
                <w:bCs/>
                <w:color w:val="auto"/>
                <w:sz w:val="18"/>
                <w:szCs w:val="18"/>
                <w:highlight w:val="none"/>
                <w:shd w:val="clear" w:color="auto" w:fill="auto"/>
                <w:lang w:val="en-US" w:eastAsia="zh-CN"/>
              </w:rPr>
              <w:t>）</w:t>
            </w:r>
          </w:p>
        </w:tc>
        <w:tc>
          <w:tcPr>
            <w:tcW w:w="1513"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5DD2335">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年使用数量上限</w:t>
            </w:r>
          </w:p>
        </w:tc>
        <w:tc>
          <w:tcPr>
            <w:tcW w:w="1112"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78078A1">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计量单位</w:t>
            </w:r>
          </w:p>
        </w:tc>
        <w:tc>
          <w:tcPr>
            <w:tcW w:w="1763"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5A4C0F4">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项目最高限价（</w:t>
            </w:r>
            <w:r>
              <w:rPr>
                <w:rFonts w:hint="default" w:ascii="Times New Roman" w:hAnsi="Times New Roman" w:eastAsia="仿宋" w:cs="Times New Roman"/>
                <w:b/>
                <w:bCs/>
                <w:color w:val="auto"/>
                <w:sz w:val="18"/>
                <w:szCs w:val="18"/>
                <w:highlight w:val="none"/>
                <w:shd w:val="clear" w:color="auto" w:fill="auto"/>
                <w:lang w:val="en-US" w:eastAsia="zh-CN"/>
              </w:rPr>
              <w:t>元</w:t>
            </w:r>
            <w:r>
              <w:rPr>
                <w:rFonts w:hint="eastAsia" w:ascii="Times New Roman" w:hAnsi="Times New Roman" w:eastAsia="仿宋" w:cs="Times New Roman"/>
                <w:b/>
                <w:bCs/>
                <w:color w:val="auto"/>
                <w:sz w:val="18"/>
                <w:szCs w:val="18"/>
                <w:highlight w:val="none"/>
                <w:shd w:val="clear" w:color="auto" w:fill="auto"/>
                <w:lang w:val="en-US" w:eastAsia="zh-CN"/>
              </w:rPr>
              <w:t>）</w:t>
            </w:r>
          </w:p>
        </w:tc>
      </w:tr>
      <w:tr w14:paraId="5B48B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0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7E26C58">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1</w:t>
            </w:r>
          </w:p>
        </w:tc>
        <w:tc>
          <w:tcPr>
            <w:tcW w:w="61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039EF48">
            <w:pPr>
              <w:spacing w:line="240" w:lineRule="auto"/>
              <w:jc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1</w:t>
            </w:r>
          </w:p>
        </w:tc>
        <w:tc>
          <w:tcPr>
            <w:tcW w:w="177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F40F3B1">
            <w:pPr>
              <w:spacing w:line="240" w:lineRule="auto"/>
              <w:jc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药物洗脱外周球囊扩张导管</w:t>
            </w:r>
          </w:p>
        </w:tc>
        <w:tc>
          <w:tcPr>
            <w:tcW w:w="14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0CBEC51">
            <w:pPr>
              <w:spacing w:line="240" w:lineRule="auto"/>
              <w:jc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29000</w:t>
            </w:r>
          </w:p>
        </w:tc>
        <w:tc>
          <w:tcPr>
            <w:tcW w:w="15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13C5AC7">
            <w:pPr>
              <w:spacing w:line="240" w:lineRule="auto"/>
              <w:jc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15</w:t>
            </w:r>
          </w:p>
        </w:tc>
        <w:tc>
          <w:tcPr>
            <w:tcW w:w="111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E262D75">
            <w:pPr>
              <w:spacing w:line="240" w:lineRule="auto"/>
              <w:jc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根</w:t>
            </w:r>
          </w:p>
        </w:tc>
        <w:tc>
          <w:tcPr>
            <w:tcW w:w="176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D66A1F8">
            <w:pPr>
              <w:spacing w:line="240" w:lineRule="auto"/>
              <w:jc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435000</w:t>
            </w:r>
          </w:p>
        </w:tc>
      </w:tr>
      <w:tr w14:paraId="0E04A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0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16F5052">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1</w:t>
            </w:r>
          </w:p>
        </w:tc>
        <w:tc>
          <w:tcPr>
            <w:tcW w:w="61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D8FABBE">
            <w:pPr>
              <w:spacing w:line="240" w:lineRule="auto"/>
              <w:jc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2</w:t>
            </w:r>
          </w:p>
        </w:tc>
        <w:tc>
          <w:tcPr>
            <w:tcW w:w="177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7864BFF">
            <w:pPr>
              <w:spacing w:line="240" w:lineRule="auto"/>
              <w:jc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外周血栓抽吸导管</w:t>
            </w:r>
          </w:p>
        </w:tc>
        <w:tc>
          <w:tcPr>
            <w:tcW w:w="14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3B2EE34">
            <w:pPr>
              <w:spacing w:line="240" w:lineRule="auto"/>
              <w:jc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10906</w:t>
            </w:r>
          </w:p>
        </w:tc>
        <w:tc>
          <w:tcPr>
            <w:tcW w:w="15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7C8C0E6">
            <w:pPr>
              <w:spacing w:line="240" w:lineRule="auto"/>
              <w:jc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15</w:t>
            </w:r>
          </w:p>
        </w:tc>
        <w:tc>
          <w:tcPr>
            <w:tcW w:w="111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C793BC5">
            <w:pPr>
              <w:spacing w:line="240" w:lineRule="auto"/>
              <w:jc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根</w:t>
            </w:r>
          </w:p>
        </w:tc>
        <w:tc>
          <w:tcPr>
            <w:tcW w:w="176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9E0DE52">
            <w:pPr>
              <w:spacing w:line="240" w:lineRule="auto"/>
              <w:jc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163590</w:t>
            </w:r>
          </w:p>
        </w:tc>
      </w:tr>
    </w:tbl>
    <w:p w14:paraId="0B0EDF8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1"/>
          <w:szCs w:val="21"/>
          <w:lang w:val="en-US" w:eastAsia="zh-CN" w:bidi="zh-CN"/>
        </w:rPr>
      </w:pPr>
    </w:p>
    <w:p w14:paraId="38C9B03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★注：竞选人响应产品应当明确品牌和规格型号并指向唯一产品，不能指向唯一产品的，应通过报价表唯一产品说明栏补充说明。</w:t>
      </w:r>
    </w:p>
    <w:p w14:paraId="08173B13">
      <w:pPr>
        <w:pStyle w:val="6"/>
        <w:jc w:val="left"/>
        <w:rPr>
          <w:rFonts w:hint="eastAsia" w:ascii="仿宋" w:hAnsi="仿宋" w:eastAsia="仿宋" w:cs="仿宋"/>
          <w:highlight w:val="none"/>
        </w:rPr>
      </w:pPr>
    </w:p>
    <w:p w14:paraId="1FECE0F3">
      <w:pPr>
        <w:pStyle w:val="6"/>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3.2.技术要求</w:t>
      </w:r>
    </w:p>
    <w:p w14:paraId="76424459">
      <w:pPr>
        <w:pStyle w:val="6"/>
        <w:jc w:val="left"/>
        <w:outlineLvl w:val="9"/>
        <w:rPr>
          <w:rFonts w:hint="eastAsia" w:ascii="仿宋" w:hAnsi="仿宋" w:eastAsia="仿宋" w:cs="仿宋"/>
          <w:b/>
          <w:bCs/>
          <w:color w:val="auto"/>
          <w:kern w:val="2"/>
          <w:sz w:val="24"/>
          <w:szCs w:val="24"/>
          <w:highlight w:val="none"/>
          <w:shd w:val="clear" w:color="auto" w:fill="auto"/>
          <w:lang w:val="en-US" w:eastAsia="zh-CN" w:bidi="ar-SA"/>
        </w:rPr>
      </w:pPr>
      <w:r>
        <w:rPr>
          <w:rFonts w:hint="eastAsia" w:ascii="仿宋" w:hAnsi="仿宋" w:eastAsia="仿宋" w:cs="仿宋"/>
          <w:b/>
          <w:bCs/>
          <w:color w:val="auto"/>
          <w:kern w:val="2"/>
          <w:sz w:val="24"/>
          <w:szCs w:val="24"/>
          <w:highlight w:val="none"/>
          <w:shd w:val="clear" w:color="auto" w:fill="auto"/>
          <w:lang w:val="en-US" w:eastAsia="zh-CN" w:bidi="ar-SA"/>
        </w:rPr>
        <w:t>包1：</w:t>
      </w:r>
    </w:p>
    <w:tbl>
      <w:tblPr>
        <w:tblStyle w:val="4"/>
        <w:tblW w:w="89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169"/>
        <w:gridCol w:w="1380"/>
        <w:gridCol w:w="2475"/>
        <w:gridCol w:w="3275"/>
      </w:tblGrid>
      <w:tr w14:paraId="0B19D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0328E1E1">
            <w:pPr>
              <w:numPr>
                <w:ilvl w:val="0"/>
                <w:numId w:val="0"/>
              </w:numPr>
              <w:spacing w:line="240" w:lineRule="auto"/>
              <w:jc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bCs/>
                <w:color w:val="auto"/>
                <w:sz w:val="24"/>
                <w:szCs w:val="24"/>
                <w:highlight w:val="none"/>
                <w:shd w:val="clear" w:color="auto" w:fill="auto"/>
                <w:vertAlign w:val="baseline"/>
                <w:lang w:val="en-US" w:eastAsia="zh-CN"/>
              </w:rPr>
              <w:t>编号</w:t>
            </w:r>
          </w:p>
        </w:tc>
        <w:tc>
          <w:tcPr>
            <w:tcW w:w="1169" w:type="dxa"/>
            <w:noWrap w:val="0"/>
            <w:vAlign w:val="center"/>
          </w:tcPr>
          <w:p w14:paraId="1679DA3D">
            <w:pPr>
              <w:numPr>
                <w:ilvl w:val="0"/>
                <w:numId w:val="0"/>
              </w:numPr>
              <w:tabs>
                <w:tab w:val="left" w:pos="403"/>
              </w:tabs>
              <w:spacing w:line="240" w:lineRule="auto"/>
              <w:jc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bCs/>
                <w:color w:val="auto"/>
                <w:sz w:val="24"/>
                <w:szCs w:val="24"/>
                <w:highlight w:val="none"/>
                <w:shd w:val="clear" w:color="auto" w:fill="auto"/>
                <w:vertAlign w:val="baseline"/>
                <w:lang w:val="en-US" w:eastAsia="zh-CN"/>
              </w:rPr>
              <w:t>标的名称</w:t>
            </w:r>
          </w:p>
        </w:tc>
        <w:tc>
          <w:tcPr>
            <w:tcW w:w="1380" w:type="dxa"/>
            <w:noWrap w:val="0"/>
            <w:vAlign w:val="center"/>
          </w:tcPr>
          <w:p w14:paraId="2973779B">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bCs/>
                <w:i w:val="0"/>
                <w:iCs w:val="0"/>
                <w:color w:val="000000"/>
                <w:kern w:val="0"/>
                <w:sz w:val="24"/>
                <w:szCs w:val="24"/>
                <w:u w:val="none"/>
                <w:lang w:val="en-US" w:eastAsia="zh-CN" w:bidi="ar"/>
              </w:rPr>
              <w:t>★医保耗材代码</w:t>
            </w:r>
          </w:p>
        </w:tc>
        <w:tc>
          <w:tcPr>
            <w:tcW w:w="2475" w:type="dxa"/>
            <w:noWrap w:val="0"/>
            <w:vAlign w:val="center"/>
          </w:tcPr>
          <w:p w14:paraId="3B7DDB72">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bCs/>
                <w:i w:val="0"/>
                <w:iCs w:val="0"/>
                <w:color w:val="000000"/>
                <w:kern w:val="0"/>
                <w:sz w:val="24"/>
                <w:szCs w:val="24"/>
                <w:u w:val="none"/>
                <w:lang w:val="en-US" w:eastAsia="zh-CN" w:bidi="ar"/>
              </w:rPr>
              <w:t>★预期用途/适应症</w:t>
            </w:r>
          </w:p>
        </w:tc>
        <w:tc>
          <w:tcPr>
            <w:tcW w:w="3275" w:type="dxa"/>
            <w:noWrap w:val="0"/>
            <w:vAlign w:val="center"/>
          </w:tcPr>
          <w:p w14:paraId="4445242C">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bCs/>
                <w:i w:val="0"/>
                <w:iCs w:val="0"/>
                <w:color w:val="000000"/>
                <w:kern w:val="0"/>
                <w:sz w:val="24"/>
                <w:szCs w:val="24"/>
                <w:u w:val="none"/>
                <w:lang w:val="en-US" w:eastAsia="zh-CN" w:bidi="ar"/>
              </w:rPr>
              <w:t>预期使用的规格型号</w:t>
            </w:r>
          </w:p>
        </w:tc>
      </w:tr>
      <w:tr w14:paraId="5F36A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756CCBE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1169" w:type="dxa"/>
            <w:noWrap w:val="0"/>
            <w:vAlign w:val="center"/>
          </w:tcPr>
          <w:p w14:paraId="5E28958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药物洗脱外周球囊扩张导管</w:t>
            </w:r>
          </w:p>
        </w:tc>
        <w:tc>
          <w:tcPr>
            <w:tcW w:w="1380" w:type="dxa"/>
            <w:noWrap w:val="0"/>
            <w:vAlign w:val="center"/>
          </w:tcPr>
          <w:p w14:paraId="49D8C22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C020618002</w:t>
            </w:r>
          </w:p>
        </w:tc>
        <w:tc>
          <w:tcPr>
            <w:tcW w:w="2475" w:type="dxa"/>
            <w:noWrap w:val="0"/>
            <w:vAlign w:val="center"/>
          </w:tcPr>
          <w:p w14:paraId="3CC3985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333333"/>
                <w:kern w:val="0"/>
                <w:sz w:val="22"/>
                <w:szCs w:val="22"/>
                <w:u w:val="none"/>
                <w:lang w:val="en-US" w:eastAsia="zh-CN" w:bidi="ar"/>
              </w:rPr>
              <w:t>治疗严重的下肢动脉硬化闭塞症患者、糖尿病足患者、肾功能衰竭患者等的髂动脉、股腘动脉、膝下动脉、上肢动静脉闭塞或狭窄导致的相应肢体严重缺血。</w:t>
            </w:r>
          </w:p>
        </w:tc>
        <w:tc>
          <w:tcPr>
            <w:tcW w:w="3275" w:type="dxa"/>
            <w:noWrap w:val="0"/>
            <w:vAlign w:val="center"/>
          </w:tcPr>
          <w:p w14:paraId="4174D97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333333"/>
                <w:kern w:val="0"/>
                <w:sz w:val="22"/>
                <w:szCs w:val="22"/>
                <w:u w:val="none"/>
                <w:lang w:val="en-US" w:eastAsia="zh-CN" w:bidi="ar"/>
              </w:rPr>
              <w:t>有效工作长度（球囊有效长度）20mm，30mm，40mm，60mm，80mm，100mm，120mm，150mm，200mm，250mm，300mm，球囊直径2.0mm-12.0mm，适配.14；.18和.35导丝，推送杆长度（导管有效长度）40cm-200cm，适配鞘管4F—8F。</w:t>
            </w:r>
          </w:p>
        </w:tc>
      </w:tr>
      <w:tr w14:paraId="37313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4A8451A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1169" w:type="dxa"/>
            <w:noWrap w:val="0"/>
            <w:vAlign w:val="center"/>
          </w:tcPr>
          <w:p w14:paraId="25898C7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外周血栓抽吸导管</w:t>
            </w:r>
          </w:p>
        </w:tc>
        <w:tc>
          <w:tcPr>
            <w:tcW w:w="1380" w:type="dxa"/>
            <w:noWrap w:val="0"/>
            <w:vAlign w:val="center"/>
          </w:tcPr>
          <w:p w14:paraId="31F4F1B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C020629004</w:t>
            </w:r>
          </w:p>
        </w:tc>
        <w:tc>
          <w:tcPr>
            <w:tcW w:w="2475" w:type="dxa"/>
            <w:noWrap w:val="0"/>
            <w:vAlign w:val="center"/>
          </w:tcPr>
          <w:p w14:paraId="42CA350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333333"/>
                <w:kern w:val="0"/>
                <w:sz w:val="22"/>
                <w:szCs w:val="22"/>
                <w:u w:val="none"/>
                <w:lang w:val="en-US" w:eastAsia="zh-CN" w:bidi="ar"/>
              </w:rPr>
              <w:t>用于下肢深静脉血栓，急性动脉栓塞，肺动脉栓塞，内脏动脉栓塞，血透通路等部位的血栓清楚。</w:t>
            </w:r>
          </w:p>
        </w:tc>
        <w:tc>
          <w:tcPr>
            <w:tcW w:w="3275" w:type="dxa"/>
            <w:noWrap w:val="0"/>
            <w:vAlign w:val="center"/>
          </w:tcPr>
          <w:p w14:paraId="7ECA23F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333333"/>
                <w:kern w:val="0"/>
                <w:sz w:val="22"/>
                <w:szCs w:val="22"/>
                <w:u w:val="none"/>
                <w:lang w:val="en-US" w:eastAsia="zh-CN" w:bidi="ar"/>
              </w:rPr>
              <w:t>长度65mm，90mm，110mm，120mm，130mm，适配.18和.35导丝，直径6F-14F的抽吸导管</w:t>
            </w:r>
          </w:p>
        </w:tc>
      </w:tr>
    </w:tbl>
    <w:p w14:paraId="6B638D08">
      <w:pPr>
        <w:pStyle w:val="6"/>
        <w:jc w:val="left"/>
        <w:outlineLvl w:val="9"/>
        <w:rPr>
          <w:rFonts w:hint="eastAsia" w:ascii="仿宋" w:hAnsi="仿宋" w:eastAsia="仿宋" w:cs="仿宋"/>
          <w:color w:val="auto"/>
          <w:kern w:val="2"/>
          <w:sz w:val="24"/>
          <w:szCs w:val="24"/>
          <w:highlight w:val="none"/>
          <w:shd w:val="clear" w:color="auto" w:fill="auto"/>
          <w:lang w:val="en-US" w:eastAsia="zh-CN" w:bidi="ar-SA"/>
        </w:rPr>
      </w:pPr>
    </w:p>
    <w:p w14:paraId="19224A3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12425BB1">
      <w:pPr>
        <w:pStyle w:val="6"/>
        <w:jc w:val="left"/>
        <w:outlineLvl w:val="9"/>
        <w:rPr>
          <w:rFonts w:hint="eastAsia" w:ascii="仿宋" w:hAnsi="仿宋" w:eastAsia="仿宋" w:cs="仿宋"/>
          <w:b/>
          <w:sz w:val="28"/>
          <w:highlight w:val="none"/>
        </w:rPr>
      </w:pPr>
    </w:p>
    <w:p w14:paraId="6C313859">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highlight w:val="none"/>
          <w:lang w:val="en-US" w:eastAsia="zh-CN"/>
        </w:rPr>
      </w:pP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项目采购要求</w:t>
      </w:r>
    </w:p>
    <w:p w14:paraId="4EFF0C94">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一、</w:t>
      </w:r>
      <w:r>
        <w:rPr>
          <w:rFonts w:hint="eastAsia" w:ascii="Times New Roman" w:hAnsi="Times New Roman" w:eastAsia="仿宋"/>
          <w:b/>
          <w:bCs/>
          <w:color w:val="000000"/>
          <w:kern w:val="2"/>
          <w:sz w:val="24"/>
          <w:szCs w:val="24"/>
          <w:highlight w:val="none"/>
          <w:shd w:val="clear" w:color="auto" w:fill="auto"/>
          <w:lang w:val="en-US" w:eastAsia="zh-CN" w:bidi="ar-SA"/>
        </w:rPr>
        <w:t>★</w:t>
      </w:r>
      <w:r>
        <w:rPr>
          <w:rFonts w:hint="eastAsia" w:ascii="仿宋" w:hAnsi="仿宋" w:eastAsia="仿宋" w:cs="仿宋"/>
          <w:b/>
          <w:sz w:val="28"/>
          <w:highlight w:val="none"/>
          <w:lang w:val="en-US" w:eastAsia="zh-CN"/>
        </w:rPr>
        <w:t>挂网需求</w:t>
      </w:r>
    </w:p>
    <w:p w14:paraId="1D323EE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1.</w:t>
      </w:r>
      <w:r>
        <w:rPr>
          <w:rFonts w:hint="default" w:ascii="仿宋" w:hAnsi="仿宋" w:eastAsia="仿宋" w:cs="仿宋"/>
          <w:color w:val="000000"/>
          <w:kern w:val="0"/>
          <w:sz w:val="21"/>
          <w:szCs w:val="21"/>
          <w:lang w:val="en-US" w:eastAsia="zh-CN" w:bidi="zh-CN"/>
        </w:rPr>
        <w:t>本项目所有标的均须提供挂网产品。</w:t>
      </w:r>
    </w:p>
    <w:p w14:paraId="5FBEE6E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default" w:ascii="仿宋" w:hAnsi="仿宋" w:eastAsia="仿宋" w:cs="仿宋"/>
          <w:color w:val="000000"/>
          <w:kern w:val="0"/>
          <w:sz w:val="21"/>
          <w:szCs w:val="21"/>
          <w:lang w:val="en-US" w:eastAsia="zh-CN" w:bidi="zh-CN"/>
        </w:rPr>
        <w:t>注：本项目中所指“挂网产品”，为“四川省药品和医用耗材招采管理系统”中已挂网产品（不含正在挂网和备案的产品）。</w:t>
      </w:r>
    </w:p>
    <w:p w14:paraId="4239E604">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二、</w:t>
      </w:r>
      <w:r>
        <w:rPr>
          <w:rFonts w:hint="eastAsia" w:ascii="Times New Roman" w:hAnsi="Times New Roman" w:eastAsia="仿宋"/>
          <w:b/>
          <w:bCs/>
          <w:color w:val="000000"/>
          <w:kern w:val="2"/>
          <w:sz w:val="24"/>
          <w:szCs w:val="24"/>
          <w:highlight w:val="none"/>
          <w:shd w:val="clear" w:color="auto" w:fill="auto"/>
          <w:lang w:val="en-US" w:eastAsia="zh-CN" w:bidi="ar-SA"/>
        </w:rPr>
        <w:t>★</w:t>
      </w:r>
      <w:r>
        <w:rPr>
          <w:rFonts w:hint="eastAsia" w:ascii="仿宋" w:hAnsi="仿宋" w:eastAsia="仿宋" w:cs="仿宋"/>
          <w:b/>
          <w:sz w:val="28"/>
          <w:highlight w:val="none"/>
          <w:lang w:val="en-US" w:eastAsia="zh-CN"/>
        </w:rPr>
        <w:t>样品要求</w:t>
      </w:r>
    </w:p>
    <w:p w14:paraId="2D799A1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1.必须提供样品，以供评审专家现场评审。（如响应的同一标的存在材质相同的多个型号，可提供其中一样作为样品）</w:t>
      </w:r>
    </w:p>
    <w:p w14:paraId="410A276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2.提交的样品不符合实际需求或存在原理错误则视为无效响应。</w:t>
      </w:r>
    </w:p>
    <w:p w14:paraId="7BB8DC9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3.本项目投标人提供的样品，应与该投标人响应文件保持一致（具体参考《医疗器械说明书和标签管理规定》）。</w:t>
      </w:r>
    </w:p>
    <w:p w14:paraId="1AF5FEE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注：样品包装需完整，样品评审时将由采购代理机构拍照留存，作为后期验收的依据。</w:t>
      </w:r>
    </w:p>
    <w:p w14:paraId="5C43FEA5">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highlight w:val="none"/>
          <w:lang w:val="en-US" w:eastAsia="zh-CN"/>
        </w:rPr>
      </w:pPr>
      <w:r>
        <w:rPr>
          <w:rFonts w:hint="eastAsia" w:ascii="仿宋" w:hAnsi="仿宋" w:eastAsia="仿宋" w:cs="仿宋"/>
          <w:b/>
          <w:sz w:val="28"/>
          <w:highlight w:val="none"/>
          <w:lang w:val="en-US" w:eastAsia="zh-CN"/>
        </w:rPr>
        <w:t>三、</w:t>
      </w:r>
      <w:r>
        <w:rPr>
          <w:rFonts w:hint="eastAsia" w:ascii="Times New Roman" w:hAnsi="Times New Roman" w:eastAsia="仿宋"/>
          <w:b/>
          <w:bCs/>
          <w:color w:val="000000"/>
          <w:kern w:val="2"/>
          <w:sz w:val="24"/>
          <w:szCs w:val="24"/>
          <w:highlight w:val="none"/>
          <w:shd w:val="clear" w:color="auto" w:fill="auto"/>
          <w:lang w:val="en-US" w:eastAsia="zh-CN" w:bidi="ar-SA"/>
        </w:rPr>
        <w:t>★</w:t>
      </w:r>
      <w:r>
        <w:rPr>
          <w:rFonts w:hint="eastAsia" w:ascii="仿宋" w:hAnsi="仿宋" w:eastAsia="仿宋" w:cs="仿宋"/>
          <w:b/>
          <w:sz w:val="28"/>
          <w:highlight w:val="none"/>
          <w:lang w:val="en-US" w:eastAsia="zh-CN"/>
        </w:rPr>
        <w:t>商务</w:t>
      </w:r>
      <w:r>
        <w:rPr>
          <w:rFonts w:hint="eastAsia" w:ascii="仿宋" w:hAnsi="仿宋" w:eastAsia="仿宋" w:cs="仿宋"/>
          <w:b/>
          <w:sz w:val="28"/>
          <w:highlight w:val="none"/>
        </w:rPr>
        <w:t>要求</w:t>
      </w:r>
      <w:r>
        <w:rPr>
          <w:rFonts w:hint="eastAsia" w:ascii="仿宋" w:hAnsi="仿宋" w:eastAsia="仿宋" w:cs="仿宋"/>
          <w:b/>
          <w:bCs/>
          <w:color w:val="000000"/>
          <w:sz w:val="28"/>
          <w:szCs w:val="28"/>
          <w:highlight w:val="none"/>
          <w:lang w:val="en-US" w:eastAsia="zh-CN"/>
        </w:rPr>
        <w:t>：</w:t>
      </w:r>
    </w:p>
    <w:p w14:paraId="66A7B0A6">
      <w:pPr>
        <w:keepNext w:val="0"/>
        <w:keepLines w:val="0"/>
        <w:pageBreakBefore w:val="0"/>
        <w:widowControl w:val="0"/>
        <w:numPr>
          <w:ilvl w:val="0"/>
          <w:numId w:val="0"/>
        </w:numPr>
        <w:kinsoku/>
        <w:wordWrap/>
        <w:overflowPunct/>
        <w:topLinePunct w:val="0"/>
        <w:autoSpaceDE/>
        <w:autoSpaceDN/>
        <w:bidi w:val="0"/>
        <w:snapToGrid/>
        <w:spacing w:line="240" w:lineRule="auto"/>
        <w:ind w:firstLine="420" w:firstLineChars="0"/>
        <w:jc w:val="left"/>
        <w:rPr>
          <w:rFonts w:hint="eastAsia" w:ascii="楷体" w:hAnsi="楷体" w:eastAsia="楷体"/>
          <w:b/>
          <w:bCs/>
          <w:color w:val="000000"/>
          <w:kern w:val="2"/>
          <w:sz w:val="24"/>
          <w:szCs w:val="24"/>
          <w:highlight w:val="none"/>
          <w:shd w:val="clear" w:color="auto" w:fill="auto"/>
          <w:lang w:val="en-US" w:eastAsia="zh-CN" w:bidi="ar-SA"/>
        </w:rPr>
      </w:pPr>
      <w:r>
        <w:rPr>
          <w:rFonts w:hint="eastAsia" w:ascii="楷体" w:hAnsi="楷体" w:eastAsia="楷体"/>
          <w:b/>
          <w:bCs/>
          <w:color w:val="000000"/>
          <w:kern w:val="2"/>
          <w:sz w:val="24"/>
          <w:szCs w:val="24"/>
          <w:highlight w:val="none"/>
          <w:shd w:val="clear" w:color="auto" w:fill="auto"/>
          <w:lang w:val="en-US" w:eastAsia="zh-CN" w:bidi="ar-SA"/>
        </w:rPr>
        <w:t>一、</w:t>
      </w:r>
      <w:r>
        <w:rPr>
          <w:rFonts w:hint="eastAsia" w:ascii="楷体" w:hAnsi="楷体" w:eastAsia="楷体"/>
          <w:b/>
          <w:bCs/>
          <w:color w:val="000000"/>
          <w:sz w:val="24"/>
          <w:szCs w:val="24"/>
          <w:highlight w:val="none"/>
          <w:shd w:val="clear" w:color="auto" w:fill="auto"/>
          <w:lang w:val="en-US" w:eastAsia="zh-CN"/>
        </w:rPr>
        <w:t>服务期限</w:t>
      </w:r>
    </w:p>
    <w:p w14:paraId="431EF47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2"/>
          <w:szCs w:val="22"/>
          <w:highlight w:val="none"/>
          <w:shd w:val="clear" w:color="auto" w:fill="auto"/>
        </w:rPr>
      </w:pPr>
      <w:r>
        <w:rPr>
          <w:rFonts w:hint="eastAsia" w:ascii="仿宋" w:hAnsi="仿宋" w:eastAsia="仿宋" w:cs="仿宋"/>
          <w:color w:val="000000"/>
          <w:kern w:val="0"/>
          <w:sz w:val="21"/>
          <w:szCs w:val="21"/>
          <w:lang w:val="en-US" w:eastAsia="zh-CN" w:bidi="zh-CN"/>
        </w:rPr>
        <w:t>1.每次配送时间必须严格按照采购人配送通知执行，中选人应于收到通知后2小时内响应。急用产品的配送时间不应超过4小时，一般产品原则上的配送时间不应超过2个工作日。</w:t>
      </w:r>
    </w:p>
    <w:p w14:paraId="33BB8F6B">
      <w:pPr>
        <w:keepNext w:val="0"/>
        <w:keepLines w:val="0"/>
        <w:pageBreakBefore w:val="0"/>
        <w:widowControl w:val="0"/>
        <w:numPr>
          <w:ilvl w:val="0"/>
          <w:numId w:val="0"/>
        </w:numPr>
        <w:kinsoku/>
        <w:wordWrap/>
        <w:overflowPunct/>
        <w:topLinePunct w:val="0"/>
        <w:autoSpaceDE/>
        <w:autoSpaceDN/>
        <w:bidi w:val="0"/>
        <w:snapToGrid/>
        <w:spacing w:line="240" w:lineRule="auto"/>
        <w:ind w:firstLine="420" w:firstLineChars="0"/>
        <w:jc w:val="left"/>
        <w:rPr>
          <w:rFonts w:hint="eastAsia" w:ascii="楷体" w:hAnsi="楷体" w:eastAsia="楷体"/>
          <w:b/>
          <w:bCs/>
          <w:color w:val="000000"/>
          <w:kern w:val="2"/>
          <w:sz w:val="24"/>
          <w:szCs w:val="24"/>
          <w:highlight w:val="none"/>
          <w:shd w:val="clear" w:color="auto" w:fill="auto"/>
          <w:lang w:val="en-US" w:eastAsia="zh-CN" w:bidi="ar-SA"/>
        </w:rPr>
      </w:pPr>
      <w:r>
        <w:rPr>
          <w:rFonts w:hint="eastAsia" w:ascii="楷体" w:hAnsi="楷体" w:eastAsia="楷体"/>
          <w:b/>
          <w:bCs/>
          <w:color w:val="000000"/>
          <w:kern w:val="2"/>
          <w:sz w:val="24"/>
          <w:szCs w:val="24"/>
          <w:highlight w:val="none"/>
          <w:shd w:val="clear" w:color="auto" w:fill="auto"/>
          <w:lang w:val="en-US" w:eastAsia="zh-CN" w:bidi="ar-SA"/>
        </w:rPr>
        <w:t>二、</w:t>
      </w:r>
      <w:r>
        <w:rPr>
          <w:rFonts w:hint="eastAsia" w:ascii="楷体" w:hAnsi="楷体" w:eastAsia="楷体"/>
          <w:b/>
          <w:bCs/>
          <w:color w:val="000000"/>
          <w:sz w:val="24"/>
          <w:szCs w:val="24"/>
          <w:highlight w:val="none"/>
          <w:shd w:val="clear" w:color="auto" w:fill="auto"/>
          <w:lang w:val="en-US" w:eastAsia="zh-CN"/>
        </w:rPr>
        <w:t>服务地点</w:t>
      </w:r>
    </w:p>
    <w:p w14:paraId="147B306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2"/>
          <w:szCs w:val="22"/>
          <w:highlight w:val="none"/>
          <w:shd w:val="clear" w:color="auto" w:fill="auto"/>
          <w:lang w:val="en-US" w:eastAsia="zh-CN"/>
        </w:rPr>
      </w:pPr>
      <w:r>
        <w:rPr>
          <w:rFonts w:hint="eastAsia" w:ascii="仿宋" w:hAnsi="仿宋" w:eastAsia="仿宋" w:cs="仿宋"/>
          <w:color w:val="000000"/>
          <w:kern w:val="0"/>
          <w:sz w:val="21"/>
          <w:szCs w:val="21"/>
          <w:lang w:val="en-US" w:eastAsia="zh-CN" w:bidi="zh-CN"/>
        </w:rPr>
        <w:t>1.</w:t>
      </w:r>
      <w:r>
        <w:rPr>
          <w:rFonts w:hint="default" w:ascii="仿宋" w:hAnsi="仿宋" w:eastAsia="仿宋" w:cs="仿宋"/>
          <w:color w:val="000000"/>
          <w:kern w:val="0"/>
          <w:sz w:val="21"/>
          <w:szCs w:val="21"/>
          <w:lang w:val="en-US" w:eastAsia="zh-CN" w:bidi="zh-CN"/>
        </w:rPr>
        <w:t>内江市第一人民医院指定地点。</w:t>
      </w:r>
    </w:p>
    <w:p w14:paraId="6A456BE7">
      <w:pPr>
        <w:keepNext w:val="0"/>
        <w:keepLines w:val="0"/>
        <w:pageBreakBefore w:val="0"/>
        <w:widowControl w:val="0"/>
        <w:numPr>
          <w:ilvl w:val="0"/>
          <w:numId w:val="0"/>
        </w:numPr>
        <w:kinsoku/>
        <w:wordWrap/>
        <w:overflowPunct/>
        <w:topLinePunct w:val="0"/>
        <w:autoSpaceDE/>
        <w:autoSpaceDN/>
        <w:bidi w:val="0"/>
        <w:snapToGrid/>
        <w:spacing w:line="240" w:lineRule="auto"/>
        <w:ind w:firstLine="420" w:firstLineChars="0"/>
        <w:jc w:val="left"/>
        <w:rPr>
          <w:rFonts w:hint="eastAsia" w:ascii="楷体" w:hAnsi="楷体" w:eastAsia="楷体"/>
          <w:b/>
          <w:bCs/>
          <w:color w:val="000000"/>
          <w:kern w:val="2"/>
          <w:sz w:val="24"/>
          <w:szCs w:val="24"/>
          <w:highlight w:val="none"/>
          <w:shd w:val="clear" w:color="auto" w:fill="auto"/>
          <w:lang w:val="en-US" w:eastAsia="zh-CN" w:bidi="ar-SA"/>
        </w:rPr>
      </w:pPr>
      <w:r>
        <w:rPr>
          <w:rFonts w:hint="eastAsia" w:ascii="楷体" w:hAnsi="楷体" w:eastAsia="楷体"/>
          <w:b/>
          <w:bCs/>
          <w:color w:val="000000"/>
          <w:kern w:val="2"/>
          <w:sz w:val="24"/>
          <w:szCs w:val="24"/>
          <w:highlight w:val="none"/>
          <w:shd w:val="clear" w:color="auto" w:fill="auto"/>
          <w:lang w:val="en-US" w:eastAsia="zh-CN" w:bidi="ar-SA"/>
        </w:rPr>
        <w:t>三、</w:t>
      </w:r>
      <w:r>
        <w:rPr>
          <w:rFonts w:hint="eastAsia" w:ascii="楷体" w:hAnsi="楷体" w:eastAsia="楷体"/>
          <w:b/>
          <w:bCs/>
          <w:color w:val="000000"/>
          <w:sz w:val="24"/>
          <w:szCs w:val="24"/>
          <w:highlight w:val="none"/>
          <w:shd w:val="clear" w:color="auto" w:fill="auto"/>
          <w:lang w:val="en-US" w:eastAsia="zh-CN"/>
        </w:rPr>
        <w:t>付款方式和条件</w:t>
      </w:r>
    </w:p>
    <w:p w14:paraId="2296D6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b w:val="0"/>
          <w:bCs w:val="0"/>
          <w:color w:val="000000"/>
          <w:kern w:val="0"/>
          <w:sz w:val="21"/>
          <w:szCs w:val="21"/>
          <w:lang w:val="en-US" w:eastAsia="zh-CN" w:bidi="zh-CN"/>
        </w:rPr>
      </w:pPr>
      <w:r>
        <w:rPr>
          <w:rFonts w:hint="eastAsia" w:ascii="仿宋" w:hAnsi="仿宋" w:eastAsia="仿宋" w:cs="仿宋"/>
          <w:b w:val="0"/>
          <w:bCs w:val="0"/>
          <w:color w:val="000000"/>
          <w:kern w:val="0"/>
          <w:sz w:val="21"/>
          <w:szCs w:val="21"/>
          <w:lang w:val="en-US" w:eastAsia="zh-CN" w:bidi="zh-CN"/>
        </w:rPr>
        <w:t>1.</w:t>
      </w:r>
      <w:r>
        <w:rPr>
          <w:rFonts w:hint="default" w:ascii="仿宋" w:hAnsi="仿宋" w:eastAsia="仿宋" w:cs="仿宋"/>
          <w:b w:val="0"/>
          <w:bCs w:val="0"/>
          <w:color w:val="000000"/>
          <w:kern w:val="0"/>
          <w:sz w:val="21"/>
          <w:szCs w:val="21"/>
          <w:lang w:val="en-US" w:eastAsia="zh-CN" w:bidi="zh-CN"/>
        </w:rPr>
        <w:t>结算方式：</w:t>
      </w:r>
      <w:r>
        <w:rPr>
          <w:rFonts w:hint="eastAsia" w:ascii="仿宋" w:hAnsi="仿宋" w:eastAsia="仿宋" w:cs="仿宋"/>
          <w:b w:val="0"/>
          <w:bCs w:val="0"/>
          <w:color w:val="000000"/>
          <w:kern w:val="0"/>
          <w:sz w:val="21"/>
          <w:szCs w:val="21"/>
          <w:lang w:val="en-US" w:eastAsia="zh-CN" w:bidi="zh-CN"/>
        </w:rPr>
        <w:t>双方同意以采购人财务制度规定的付款时间及付款要求进行结算，投标人已完全了解并清楚采购人的财务制度，投标人对采购人财务制度规定的付款要求及付款时间不持异议</w:t>
      </w:r>
      <w:r>
        <w:rPr>
          <w:rFonts w:hint="default" w:ascii="仿宋" w:hAnsi="仿宋" w:eastAsia="仿宋" w:cs="仿宋"/>
          <w:b w:val="0"/>
          <w:bCs w:val="0"/>
          <w:color w:val="000000"/>
          <w:kern w:val="0"/>
          <w:sz w:val="21"/>
          <w:szCs w:val="21"/>
          <w:lang w:val="en-US" w:eastAsia="zh-CN" w:bidi="zh-CN"/>
        </w:rPr>
        <w:t>。</w:t>
      </w:r>
    </w:p>
    <w:p w14:paraId="15883D0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b w:val="0"/>
          <w:bCs w:val="0"/>
          <w:color w:val="000000"/>
          <w:kern w:val="0"/>
          <w:sz w:val="21"/>
          <w:szCs w:val="21"/>
          <w:lang w:val="en-US" w:eastAsia="zh-CN" w:bidi="zh-CN"/>
        </w:rPr>
      </w:pPr>
      <w:r>
        <w:rPr>
          <w:rFonts w:hint="eastAsia" w:ascii="仿宋" w:hAnsi="仿宋" w:eastAsia="仿宋" w:cs="仿宋"/>
          <w:b w:val="0"/>
          <w:bCs w:val="0"/>
          <w:color w:val="000000"/>
          <w:kern w:val="0"/>
          <w:sz w:val="21"/>
          <w:szCs w:val="21"/>
          <w:lang w:val="en-US" w:eastAsia="zh-CN" w:bidi="zh-CN"/>
        </w:rPr>
        <w:t>2.</w:t>
      </w:r>
      <w:r>
        <w:rPr>
          <w:rFonts w:hint="default" w:ascii="仿宋" w:hAnsi="仿宋" w:eastAsia="仿宋" w:cs="仿宋"/>
          <w:b w:val="0"/>
          <w:bCs w:val="0"/>
          <w:color w:val="000000"/>
          <w:kern w:val="0"/>
          <w:sz w:val="21"/>
          <w:szCs w:val="21"/>
          <w:lang w:val="en-US" w:eastAsia="zh-CN" w:bidi="zh-CN"/>
        </w:rPr>
        <w:t>成交价格包含成本、运输、包装、培训、配送、伴随服务、税费及其他附加费用</w:t>
      </w:r>
      <w:r>
        <w:rPr>
          <w:rFonts w:hint="eastAsia" w:ascii="仿宋" w:hAnsi="仿宋" w:eastAsia="仿宋" w:cs="仿宋"/>
          <w:b w:val="0"/>
          <w:bCs w:val="0"/>
          <w:color w:val="000000"/>
          <w:kern w:val="0"/>
          <w:sz w:val="21"/>
          <w:szCs w:val="21"/>
          <w:lang w:val="en-US" w:eastAsia="zh-Hans" w:bidi="zh-CN"/>
        </w:rPr>
        <w:t>等一切费用</w:t>
      </w:r>
      <w:r>
        <w:rPr>
          <w:rFonts w:hint="default" w:ascii="仿宋" w:hAnsi="仿宋" w:eastAsia="仿宋" w:cs="仿宋"/>
          <w:b w:val="0"/>
          <w:bCs w:val="0"/>
          <w:color w:val="000000"/>
          <w:kern w:val="0"/>
          <w:sz w:val="21"/>
          <w:szCs w:val="21"/>
          <w:lang w:val="en-US" w:eastAsia="zh-CN" w:bidi="zh-CN"/>
        </w:rPr>
        <w:t>。</w:t>
      </w:r>
    </w:p>
    <w:p w14:paraId="1983F86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b w:val="0"/>
          <w:bCs w:val="0"/>
          <w:color w:val="000000"/>
          <w:kern w:val="0"/>
          <w:sz w:val="21"/>
          <w:szCs w:val="21"/>
          <w:lang w:val="en-US" w:eastAsia="zh-CN" w:bidi="zh-CN"/>
        </w:rPr>
      </w:pPr>
      <w:r>
        <w:rPr>
          <w:rFonts w:hint="eastAsia" w:ascii="仿宋" w:hAnsi="仿宋" w:eastAsia="仿宋" w:cs="仿宋"/>
          <w:b w:val="0"/>
          <w:bCs w:val="0"/>
          <w:color w:val="000000"/>
          <w:kern w:val="0"/>
          <w:sz w:val="21"/>
          <w:szCs w:val="21"/>
          <w:lang w:val="en-US" w:eastAsia="zh-CN" w:bidi="zh-CN"/>
        </w:rPr>
        <w:t>3.</w:t>
      </w:r>
      <w:r>
        <w:rPr>
          <w:rFonts w:hint="eastAsia" w:ascii="仿宋" w:hAnsi="仿宋" w:eastAsia="仿宋" w:cs="仿宋"/>
          <w:color w:val="000000"/>
          <w:kern w:val="0"/>
          <w:sz w:val="21"/>
          <w:szCs w:val="21"/>
          <w:highlight w:val="none"/>
          <w:shd w:val="clear" w:color="auto" w:fill="auto"/>
          <w:lang w:val="en-US" w:eastAsia="zh-CN" w:bidi="zh-CN"/>
        </w:rPr>
        <w:t>若本项目中限定了标的数量或金额，中标人应严格按照响应内容执行，采购人有权拒绝支付超出响应范围</w:t>
      </w:r>
      <w:r>
        <w:rPr>
          <w:rFonts w:hint="eastAsia" w:ascii="仿宋" w:hAnsi="仿宋" w:eastAsia="仿宋" w:cs="仿宋"/>
          <w:color w:val="000000"/>
          <w:kern w:val="0"/>
          <w:sz w:val="21"/>
          <w:szCs w:val="21"/>
          <w:highlight w:val="none"/>
          <w:shd w:val="clear" w:color="auto" w:fill="auto"/>
          <w:lang w:val="en-US" w:eastAsia="zh-Hans" w:bidi="zh-CN"/>
        </w:rPr>
        <w:t>的</w:t>
      </w:r>
      <w:r>
        <w:rPr>
          <w:rFonts w:hint="eastAsia" w:ascii="仿宋" w:hAnsi="仿宋" w:eastAsia="仿宋" w:cs="仿宋"/>
          <w:color w:val="000000"/>
          <w:kern w:val="0"/>
          <w:sz w:val="21"/>
          <w:szCs w:val="21"/>
          <w:highlight w:val="none"/>
          <w:shd w:val="clear" w:color="auto" w:fill="auto"/>
          <w:lang w:val="en-US" w:eastAsia="zh-CN" w:bidi="zh-CN"/>
        </w:rPr>
        <w:t>任何内容。</w:t>
      </w:r>
    </w:p>
    <w:p w14:paraId="33B9969E">
      <w:pPr>
        <w:keepNext w:val="0"/>
        <w:keepLines w:val="0"/>
        <w:pageBreakBefore w:val="0"/>
        <w:widowControl w:val="0"/>
        <w:numPr>
          <w:ilvl w:val="0"/>
          <w:numId w:val="0"/>
        </w:numPr>
        <w:kinsoku/>
        <w:wordWrap/>
        <w:overflowPunct/>
        <w:topLinePunct w:val="0"/>
        <w:autoSpaceDE/>
        <w:autoSpaceDN/>
        <w:bidi w:val="0"/>
        <w:snapToGrid/>
        <w:spacing w:line="240" w:lineRule="auto"/>
        <w:ind w:firstLine="420" w:firstLineChars="0"/>
        <w:jc w:val="left"/>
        <w:rPr>
          <w:rFonts w:hint="eastAsia" w:ascii="楷体" w:hAnsi="楷体" w:eastAsia="楷体"/>
          <w:b/>
          <w:bCs/>
          <w:color w:val="000000"/>
          <w:kern w:val="2"/>
          <w:sz w:val="24"/>
          <w:szCs w:val="24"/>
          <w:highlight w:val="none"/>
          <w:shd w:val="clear" w:color="auto" w:fill="auto"/>
          <w:lang w:val="en-US" w:eastAsia="zh-CN" w:bidi="ar-SA"/>
        </w:rPr>
      </w:pPr>
      <w:r>
        <w:rPr>
          <w:rFonts w:hint="eastAsia" w:ascii="楷体" w:hAnsi="楷体" w:eastAsia="楷体"/>
          <w:b/>
          <w:bCs/>
          <w:color w:val="000000"/>
          <w:kern w:val="2"/>
          <w:sz w:val="24"/>
          <w:szCs w:val="24"/>
          <w:highlight w:val="none"/>
          <w:shd w:val="clear" w:color="auto" w:fill="auto"/>
          <w:lang w:val="en-US" w:eastAsia="zh-CN" w:bidi="ar-SA"/>
        </w:rPr>
        <w:t>四、验收、交付标准和方法</w:t>
      </w:r>
    </w:p>
    <w:p w14:paraId="2C7A370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1.</w:t>
      </w:r>
      <w:r>
        <w:rPr>
          <w:rFonts w:hint="default" w:ascii="仿宋" w:hAnsi="仿宋" w:eastAsia="仿宋" w:cs="仿宋"/>
          <w:color w:val="000000"/>
          <w:kern w:val="0"/>
          <w:sz w:val="21"/>
          <w:szCs w:val="21"/>
          <w:lang w:val="en-US" w:eastAsia="zh-CN" w:bidi="zh-CN"/>
        </w:rPr>
        <w:t>按照《财政部关于进一步加强政府采购需求和履约验收管理的指导意见》（财库〔2016〕205号）的要求以及采购人招标文件的质量要求和技术指标、</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的投标文件及承诺（若有）、国家（行业）标准、采购合同约定标准进行验收；</w:t>
      </w:r>
    </w:p>
    <w:p w14:paraId="54747D3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2.</w:t>
      </w:r>
      <w:r>
        <w:rPr>
          <w:rFonts w:hint="default" w:ascii="仿宋" w:hAnsi="仿宋" w:eastAsia="仿宋" w:cs="仿宋"/>
          <w:color w:val="000000"/>
          <w:kern w:val="0"/>
          <w:sz w:val="21"/>
          <w:szCs w:val="21"/>
          <w:lang w:val="en-US" w:eastAsia="zh-CN" w:bidi="zh-CN"/>
        </w:rPr>
        <w:t>验收时如发现所</w:t>
      </w:r>
      <w:r>
        <w:rPr>
          <w:rFonts w:hint="eastAsia" w:ascii="仿宋" w:hAnsi="仿宋" w:eastAsia="仿宋" w:cs="仿宋"/>
          <w:color w:val="000000"/>
          <w:kern w:val="0"/>
          <w:sz w:val="21"/>
          <w:szCs w:val="21"/>
          <w:lang w:val="en-US" w:eastAsia="zh-Hans" w:bidi="zh-CN"/>
        </w:rPr>
        <w:t>配送</w:t>
      </w:r>
      <w:r>
        <w:rPr>
          <w:rFonts w:hint="default" w:ascii="仿宋" w:hAnsi="仿宋" w:eastAsia="仿宋" w:cs="仿宋"/>
          <w:color w:val="000000"/>
          <w:kern w:val="0"/>
          <w:sz w:val="21"/>
          <w:szCs w:val="21"/>
          <w:lang w:val="en-US" w:eastAsia="zh-CN" w:bidi="zh-CN"/>
        </w:rPr>
        <w:t>的货物有短装、次品、损坏或其他不符合验收标准的，采购人应做出详尽的现场记录，此现场记录或备忘录可用作补充、缺失和更换损坏部件的有效证据，由此产生的时间延误与有关费用由</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承担，验收期限相应顺延；</w:t>
      </w:r>
    </w:p>
    <w:p w14:paraId="7DEE5DD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3.</w:t>
      </w:r>
      <w:r>
        <w:rPr>
          <w:rFonts w:hint="default" w:ascii="仿宋" w:hAnsi="仿宋" w:eastAsia="仿宋" w:cs="仿宋"/>
          <w:color w:val="000000"/>
          <w:kern w:val="0"/>
          <w:sz w:val="21"/>
          <w:szCs w:val="21"/>
          <w:lang w:val="en-US" w:eastAsia="zh-CN" w:bidi="zh-CN"/>
        </w:rPr>
        <w:t>若所</w:t>
      </w:r>
      <w:r>
        <w:rPr>
          <w:rFonts w:hint="eastAsia" w:ascii="仿宋" w:hAnsi="仿宋" w:eastAsia="仿宋" w:cs="仿宋"/>
          <w:color w:val="000000"/>
          <w:kern w:val="0"/>
          <w:sz w:val="21"/>
          <w:szCs w:val="21"/>
          <w:lang w:val="en-US" w:eastAsia="zh-Hans" w:bidi="zh-CN"/>
        </w:rPr>
        <w:t>配送</w:t>
      </w:r>
      <w:r>
        <w:rPr>
          <w:rFonts w:hint="default" w:ascii="仿宋" w:hAnsi="仿宋" w:eastAsia="仿宋" w:cs="仿宋"/>
          <w:color w:val="000000"/>
          <w:kern w:val="0"/>
          <w:sz w:val="21"/>
          <w:szCs w:val="21"/>
          <w:lang w:val="en-US" w:eastAsia="zh-CN" w:bidi="zh-CN"/>
        </w:rPr>
        <w:t>货物不符合验收标准，</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经过2次</w:t>
      </w:r>
      <w:r>
        <w:rPr>
          <w:rFonts w:hint="eastAsia" w:ascii="仿宋" w:hAnsi="仿宋" w:eastAsia="仿宋" w:cs="仿宋"/>
          <w:color w:val="000000"/>
          <w:kern w:val="0"/>
          <w:sz w:val="21"/>
          <w:szCs w:val="21"/>
          <w:lang w:val="en-US" w:eastAsia="zh-Hans" w:bidi="zh-CN"/>
        </w:rPr>
        <w:t>更</w:t>
      </w:r>
      <w:r>
        <w:rPr>
          <w:rFonts w:hint="default" w:ascii="仿宋" w:hAnsi="仿宋" w:eastAsia="仿宋" w:cs="仿宋"/>
          <w:color w:val="000000"/>
          <w:kern w:val="0"/>
          <w:sz w:val="21"/>
          <w:szCs w:val="21"/>
          <w:lang w:val="en-US" w:eastAsia="zh-CN" w:bidi="zh-CN"/>
        </w:rPr>
        <w:t>换后仍不能达到验收质量标准，则视为验收不合格，采购人有权全部（或部分）退货或解除合同。接到采购人退货通知，</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除应及时运走采购人退还的货物外（若涉及费用或损失均由</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自行承担），还应向采购人承担相应的违约责任。</w:t>
      </w:r>
    </w:p>
    <w:p w14:paraId="19F7C82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4.</w:t>
      </w:r>
      <w:r>
        <w:rPr>
          <w:rFonts w:hint="default" w:ascii="仿宋" w:hAnsi="仿宋" w:eastAsia="仿宋" w:cs="仿宋"/>
          <w:color w:val="000000"/>
          <w:kern w:val="0"/>
          <w:sz w:val="21"/>
          <w:szCs w:val="21"/>
          <w:lang w:val="en-US" w:eastAsia="zh-CN" w:bidi="zh-CN"/>
        </w:rPr>
        <w:t>其他未尽事宜严格按照《财政部关于进一步加强政府采购需求和履约验收管理的指导意见》（财库〔2016〕205号）的要求进行。</w:t>
      </w:r>
    </w:p>
    <w:p w14:paraId="4A97A31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5.所配送耗材的技术参数与性能指标中涉及到的国家标准、行业标准或地方标准，若有最新标准以最新标准为准。</w:t>
      </w:r>
    </w:p>
    <w:p w14:paraId="7205291F">
      <w:pPr>
        <w:keepNext w:val="0"/>
        <w:keepLines w:val="0"/>
        <w:pageBreakBefore w:val="0"/>
        <w:widowControl w:val="0"/>
        <w:numPr>
          <w:ilvl w:val="0"/>
          <w:numId w:val="0"/>
        </w:numPr>
        <w:kinsoku/>
        <w:wordWrap/>
        <w:overflowPunct/>
        <w:topLinePunct w:val="0"/>
        <w:autoSpaceDE/>
        <w:autoSpaceDN/>
        <w:bidi w:val="0"/>
        <w:snapToGrid/>
        <w:spacing w:line="240" w:lineRule="auto"/>
        <w:ind w:firstLine="420" w:firstLineChars="0"/>
        <w:jc w:val="left"/>
        <w:rPr>
          <w:rFonts w:hint="eastAsia" w:ascii="楷体" w:hAnsi="楷体" w:eastAsia="楷体"/>
          <w:b/>
          <w:bCs/>
          <w:color w:val="000000"/>
          <w:kern w:val="2"/>
          <w:sz w:val="22"/>
          <w:szCs w:val="22"/>
          <w:highlight w:val="none"/>
          <w:shd w:val="clear" w:color="auto" w:fill="auto"/>
          <w:lang w:val="en-US" w:eastAsia="zh-CN" w:bidi="ar-SA"/>
        </w:rPr>
      </w:pPr>
      <w:r>
        <w:rPr>
          <w:rFonts w:hint="eastAsia" w:ascii="楷体" w:hAnsi="楷体" w:eastAsia="楷体"/>
          <w:b/>
          <w:bCs/>
          <w:color w:val="000000"/>
          <w:kern w:val="2"/>
          <w:sz w:val="22"/>
          <w:szCs w:val="22"/>
          <w:highlight w:val="none"/>
          <w:shd w:val="clear" w:color="auto" w:fill="auto"/>
          <w:lang w:val="en-US" w:eastAsia="zh-CN" w:bidi="ar-SA"/>
        </w:rPr>
        <w:t>五、</w:t>
      </w:r>
      <w:r>
        <w:rPr>
          <w:rFonts w:hint="eastAsia" w:ascii="楷体" w:hAnsi="楷体" w:eastAsia="楷体"/>
          <w:b/>
          <w:bCs/>
          <w:color w:val="000000"/>
          <w:sz w:val="24"/>
          <w:szCs w:val="24"/>
          <w:highlight w:val="none"/>
          <w:shd w:val="clear" w:color="auto" w:fill="auto"/>
          <w:lang w:val="en-US" w:eastAsia="zh-CN"/>
        </w:rPr>
        <w:t>售后服务</w:t>
      </w:r>
    </w:p>
    <w:p w14:paraId="60D0B10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1.</w:t>
      </w:r>
      <w:r>
        <w:rPr>
          <w:rFonts w:hint="default" w:ascii="仿宋" w:hAnsi="仿宋" w:eastAsia="仿宋" w:cs="仿宋"/>
          <w:color w:val="000000"/>
          <w:kern w:val="0"/>
          <w:sz w:val="21"/>
          <w:szCs w:val="21"/>
          <w:lang w:val="en-US" w:eastAsia="zh-CN" w:bidi="zh-CN"/>
        </w:rPr>
        <w:t>要求</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05C8399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2.</w:t>
      </w:r>
      <w:r>
        <w:rPr>
          <w:rFonts w:hint="default" w:ascii="仿宋" w:hAnsi="仿宋" w:eastAsia="仿宋" w:cs="仿宋"/>
          <w:color w:val="000000"/>
          <w:kern w:val="0"/>
          <w:sz w:val="21"/>
          <w:szCs w:val="21"/>
          <w:lang w:val="en-US" w:eastAsia="zh-CN" w:bidi="zh-CN"/>
        </w:rPr>
        <w:t>要求</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指派专人负责与采购人联系售后服务事宜；在投标文件中列明售后联系人及联系电话。</w:t>
      </w:r>
    </w:p>
    <w:p w14:paraId="65883C0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3.</w:t>
      </w:r>
      <w:r>
        <w:rPr>
          <w:rFonts w:hint="default" w:ascii="仿宋" w:hAnsi="仿宋" w:eastAsia="仿宋" w:cs="仿宋"/>
          <w:color w:val="000000"/>
          <w:kern w:val="0"/>
          <w:sz w:val="21"/>
          <w:szCs w:val="21"/>
          <w:lang w:val="en-US" w:eastAsia="zh-CN" w:bidi="zh-CN"/>
        </w:rPr>
        <w:t>要求</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451C43D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4.</w:t>
      </w:r>
      <w:r>
        <w:rPr>
          <w:rFonts w:hint="default" w:ascii="仿宋" w:hAnsi="仿宋" w:eastAsia="仿宋" w:cs="仿宋"/>
          <w:color w:val="000000"/>
          <w:kern w:val="0"/>
          <w:sz w:val="21"/>
          <w:szCs w:val="21"/>
          <w:lang w:val="en-US" w:eastAsia="zh-CN" w:bidi="zh-CN"/>
        </w:rPr>
        <w:t>耗材临近失效期，采购人提前三个月向</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提出更换，</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须在耗材失效前一个月更换完毕，不得以任何理由进行推诿。</w:t>
      </w:r>
    </w:p>
    <w:p w14:paraId="0178AC4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5.中选人</w:t>
      </w:r>
      <w:r>
        <w:rPr>
          <w:rFonts w:hint="default" w:ascii="仿宋" w:hAnsi="仿宋" w:eastAsia="仿宋" w:cs="仿宋"/>
          <w:color w:val="000000"/>
          <w:kern w:val="0"/>
          <w:sz w:val="21"/>
          <w:szCs w:val="21"/>
          <w:lang w:val="en-US" w:eastAsia="zh-CN" w:bidi="zh-CN"/>
        </w:rPr>
        <w:t>必须随货提供其具备医疗器械经营企业的有关合法有效的手续（包括但不限于）：</w:t>
      </w:r>
    </w:p>
    <w:p w14:paraId="0BA29F4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5.1</w:t>
      </w:r>
      <w:r>
        <w:rPr>
          <w:rFonts w:hint="default" w:ascii="仿宋" w:hAnsi="仿宋" w:eastAsia="仿宋" w:cs="仿宋"/>
          <w:color w:val="000000"/>
          <w:kern w:val="0"/>
          <w:sz w:val="21"/>
          <w:szCs w:val="21"/>
          <w:lang w:val="en-US" w:eastAsia="zh-CN" w:bidi="zh-CN"/>
        </w:rPr>
        <w:t>产品所涉及逐级授权经销商的医疗器械生产（经营）许可证或生产（经营）企业备案表；</w:t>
      </w:r>
    </w:p>
    <w:p w14:paraId="2CA6CE5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5.2</w:t>
      </w:r>
      <w:r>
        <w:rPr>
          <w:rFonts w:hint="default" w:ascii="仿宋" w:hAnsi="仿宋" w:eastAsia="仿宋" w:cs="仿宋"/>
          <w:color w:val="000000"/>
          <w:kern w:val="0"/>
          <w:sz w:val="21"/>
          <w:szCs w:val="21"/>
          <w:lang w:val="en-US" w:eastAsia="zh-CN" w:bidi="zh-CN"/>
        </w:rPr>
        <w:t>医疗器械产品注册证或备案凭证；</w:t>
      </w:r>
    </w:p>
    <w:p w14:paraId="200C8A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5.3</w:t>
      </w:r>
      <w:r>
        <w:rPr>
          <w:rFonts w:hint="default" w:ascii="仿宋" w:hAnsi="仿宋" w:eastAsia="仿宋" w:cs="仿宋"/>
          <w:color w:val="000000"/>
          <w:kern w:val="0"/>
          <w:sz w:val="21"/>
          <w:szCs w:val="21"/>
          <w:lang w:val="en-US" w:eastAsia="zh-CN" w:bidi="zh-CN"/>
        </w:rPr>
        <w:t>医疗器械生产企业许可证；</w:t>
      </w:r>
    </w:p>
    <w:p w14:paraId="3AE4959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5.4</w:t>
      </w:r>
      <w:r>
        <w:rPr>
          <w:rFonts w:hint="default" w:ascii="仿宋" w:hAnsi="仿宋" w:eastAsia="仿宋" w:cs="仿宋"/>
          <w:color w:val="000000"/>
          <w:kern w:val="0"/>
          <w:sz w:val="21"/>
          <w:szCs w:val="21"/>
          <w:lang w:val="en-US" w:eastAsia="zh-CN" w:bidi="zh-CN"/>
        </w:rPr>
        <w:t>经销商获得的委托授权书（逐级）；</w:t>
      </w:r>
    </w:p>
    <w:p w14:paraId="6D32577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5.5</w:t>
      </w:r>
      <w:r>
        <w:rPr>
          <w:rFonts w:hint="default" w:ascii="仿宋" w:hAnsi="仿宋" w:eastAsia="仿宋" w:cs="仿宋"/>
          <w:color w:val="000000"/>
          <w:kern w:val="0"/>
          <w:sz w:val="21"/>
          <w:szCs w:val="21"/>
          <w:lang w:val="en-US" w:eastAsia="zh-CN" w:bidi="zh-CN"/>
        </w:rPr>
        <w:t>产品所涉及逐级授权经销商的企业法人营业执照。</w:t>
      </w:r>
    </w:p>
    <w:p w14:paraId="42B7EBF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5.6</w:t>
      </w:r>
      <w:r>
        <w:rPr>
          <w:rFonts w:hint="default" w:ascii="仿宋" w:hAnsi="仿宋" w:eastAsia="仿宋" w:cs="仿宋"/>
          <w:color w:val="000000"/>
          <w:kern w:val="0"/>
          <w:sz w:val="21"/>
          <w:szCs w:val="21"/>
          <w:lang w:val="en-US" w:eastAsia="zh-CN" w:bidi="zh-CN"/>
        </w:rPr>
        <w:t>采购人要求提供的相关资料。</w:t>
      </w:r>
    </w:p>
    <w:p w14:paraId="59D18B72">
      <w:pPr>
        <w:keepNext w:val="0"/>
        <w:keepLines w:val="0"/>
        <w:pageBreakBefore w:val="0"/>
        <w:widowControl w:val="0"/>
        <w:numPr>
          <w:ilvl w:val="0"/>
          <w:numId w:val="1"/>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default" w:ascii="仿宋" w:hAnsi="仿宋" w:eastAsia="仿宋" w:cs="仿宋"/>
          <w:color w:val="000000"/>
          <w:kern w:val="0"/>
          <w:sz w:val="21"/>
          <w:szCs w:val="21"/>
          <w:lang w:val="en-US" w:eastAsia="zh-CN" w:bidi="zh-CN"/>
        </w:rPr>
        <w:t>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或厂家原因无法按上述要求执行的，则采购人可以</w:t>
      </w:r>
      <w:r>
        <w:rPr>
          <w:rFonts w:hint="eastAsia" w:ascii="仿宋" w:hAnsi="仿宋" w:eastAsia="仿宋" w:cs="仿宋"/>
          <w:color w:val="000000"/>
          <w:kern w:val="0"/>
          <w:sz w:val="21"/>
          <w:szCs w:val="21"/>
          <w:lang w:val="en-US" w:eastAsia="zh-CN" w:bidi="zh-CN"/>
        </w:rPr>
        <w:t>部分</w:t>
      </w:r>
      <w:r>
        <w:rPr>
          <w:rFonts w:hint="default" w:ascii="仿宋" w:hAnsi="仿宋" w:eastAsia="仿宋" w:cs="仿宋"/>
          <w:color w:val="000000"/>
          <w:kern w:val="0"/>
          <w:sz w:val="21"/>
          <w:szCs w:val="21"/>
          <w:lang w:val="en-US" w:eastAsia="zh-CN" w:bidi="zh-CN"/>
        </w:rPr>
        <w:t>解除</w:t>
      </w:r>
      <w:r>
        <w:rPr>
          <w:rFonts w:hint="eastAsia" w:ascii="仿宋" w:hAnsi="仿宋" w:eastAsia="仿宋" w:cs="仿宋"/>
          <w:color w:val="000000"/>
          <w:kern w:val="0"/>
          <w:sz w:val="21"/>
          <w:szCs w:val="21"/>
          <w:lang w:val="en-US" w:eastAsia="zh-CN" w:bidi="zh-CN"/>
        </w:rPr>
        <w:t>采购合同</w:t>
      </w:r>
      <w:r>
        <w:rPr>
          <w:rFonts w:hint="default" w:ascii="仿宋" w:hAnsi="仿宋" w:eastAsia="仿宋" w:cs="仿宋"/>
          <w:color w:val="000000"/>
          <w:kern w:val="0"/>
          <w:sz w:val="21"/>
          <w:szCs w:val="21"/>
          <w:lang w:val="en-US" w:eastAsia="zh-CN" w:bidi="zh-CN"/>
        </w:rPr>
        <w:t>。</w:t>
      </w:r>
    </w:p>
    <w:p w14:paraId="6E1CF6B2">
      <w:pPr>
        <w:keepNext w:val="0"/>
        <w:keepLines w:val="0"/>
        <w:pageBreakBefore w:val="0"/>
        <w:widowControl w:val="0"/>
        <w:numPr>
          <w:ilvl w:val="0"/>
          <w:numId w:val="0"/>
        </w:numPr>
        <w:kinsoku/>
        <w:wordWrap/>
        <w:overflowPunct/>
        <w:topLinePunct w:val="0"/>
        <w:autoSpaceDE/>
        <w:autoSpaceDN/>
        <w:bidi w:val="0"/>
        <w:snapToGrid/>
        <w:spacing w:line="240" w:lineRule="auto"/>
        <w:ind w:firstLine="482" w:firstLineChars="200"/>
        <w:jc w:val="left"/>
        <w:rPr>
          <w:rFonts w:hint="eastAsia" w:ascii="楷体" w:hAnsi="楷体" w:eastAsia="楷体"/>
          <w:b/>
          <w:bCs/>
          <w:color w:val="000000"/>
          <w:sz w:val="24"/>
          <w:szCs w:val="24"/>
          <w:highlight w:val="none"/>
          <w:shd w:val="clear" w:color="auto" w:fill="auto"/>
          <w:lang w:val="en-US" w:eastAsia="zh-CN"/>
        </w:rPr>
      </w:pPr>
      <w:r>
        <w:rPr>
          <w:rFonts w:hint="eastAsia" w:ascii="楷体" w:hAnsi="楷体" w:eastAsia="楷体" w:cs="Times New Roman"/>
          <w:b/>
          <w:bCs/>
          <w:color w:val="000000"/>
          <w:kern w:val="2"/>
          <w:sz w:val="24"/>
          <w:szCs w:val="24"/>
          <w:highlight w:val="none"/>
          <w:shd w:val="clear" w:fill="auto"/>
          <w:lang w:val="en-US" w:eastAsia="zh-CN" w:bidi="ar-SA"/>
        </w:rPr>
        <w:t>六、</w:t>
      </w:r>
      <w:r>
        <w:rPr>
          <w:rFonts w:hint="eastAsia" w:ascii="楷体" w:hAnsi="楷体" w:eastAsia="楷体"/>
          <w:b/>
          <w:bCs/>
          <w:color w:val="000000"/>
          <w:sz w:val="24"/>
          <w:szCs w:val="24"/>
          <w:highlight w:val="none"/>
          <w:shd w:val="clear" w:color="auto" w:fill="auto"/>
          <w:lang w:val="en-US" w:eastAsia="zh-CN"/>
        </w:rPr>
        <w:t>配送医用耗材质量保证</w:t>
      </w:r>
    </w:p>
    <w:p w14:paraId="3B25442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（1）中标人须</w:t>
      </w:r>
      <w:r>
        <w:rPr>
          <w:rFonts w:hint="eastAsia" w:ascii="仿宋" w:hAnsi="仿宋" w:eastAsia="仿宋" w:cs="仿宋"/>
          <w:color w:val="000000"/>
          <w:kern w:val="0"/>
          <w:sz w:val="21"/>
          <w:szCs w:val="21"/>
          <w:lang w:val="en-US" w:eastAsia="zh-Hans" w:bidi="zh-CN"/>
        </w:rPr>
        <w:t>配送</w:t>
      </w:r>
      <w:r>
        <w:rPr>
          <w:rFonts w:hint="eastAsia" w:ascii="仿宋" w:hAnsi="仿宋" w:eastAsia="仿宋" w:cs="仿宋"/>
          <w:color w:val="000000"/>
          <w:kern w:val="0"/>
          <w:sz w:val="21"/>
          <w:szCs w:val="21"/>
          <w:lang w:val="en-US" w:eastAsia="zh-CN" w:bidi="zh-CN"/>
        </w:rPr>
        <w:t>原厂生产的未曾使用过的、全新的合格的货品（含配套配件等），表面无划伤、无破损痕迹，且权属清楚，不得侵害他人的合法权利。</w:t>
      </w:r>
    </w:p>
    <w:p w14:paraId="725C31C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（2）中标人所</w:t>
      </w:r>
      <w:r>
        <w:rPr>
          <w:rFonts w:hint="eastAsia" w:ascii="仿宋" w:hAnsi="仿宋" w:eastAsia="仿宋" w:cs="仿宋"/>
          <w:color w:val="000000"/>
          <w:kern w:val="0"/>
          <w:sz w:val="21"/>
          <w:szCs w:val="21"/>
          <w:lang w:val="en-US" w:eastAsia="zh-Hans" w:bidi="zh-CN"/>
        </w:rPr>
        <w:t>配送</w:t>
      </w:r>
      <w:r>
        <w:rPr>
          <w:rFonts w:hint="eastAsia" w:ascii="仿宋" w:hAnsi="仿宋" w:eastAsia="仿宋" w:cs="仿宋"/>
          <w:color w:val="000000"/>
          <w:kern w:val="0"/>
          <w:sz w:val="21"/>
          <w:szCs w:val="21"/>
          <w:lang w:val="en-US" w:eastAsia="zh-CN" w:bidi="zh-CN"/>
        </w:rPr>
        <w:t>货品须符合或优于国家（行业）标准、本项目招标文件要求及投标文件响应内容。当投标文件响应内容与招标文件要求不一致时，以文件响应内容为准。当投标文件响应内容与国家标准、行业标准（若有）不一致时，以较高标准为准。</w:t>
      </w:r>
    </w:p>
    <w:p w14:paraId="0C14769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（3）中标人</w:t>
      </w:r>
      <w:r>
        <w:rPr>
          <w:rFonts w:hint="eastAsia" w:ascii="仿宋" w:hAnsi="仿宋" w:eastAsia="仿宋" w:cs="仿宋"/>
          <w:color w:val="000000"/>
          <w:kern w:val="0"/>
          <w:sz w:val="21"/>
          <w:szCs w:val="21"/>
          <w:lang w:val="en-US" w:eastAsia="zh-Hans" w:bidi="zh-CN"/>
        </w:rPr>
        <w:t>配送</w:t>
      </w:r>
      <w:r>
        <w:rPr>
          <w:rFonts w:hint="eastAsia" w:ascii="仿宋" w:hAnsi="仿宋" w:eastAsia="仿宋" w:cs="仿宋"/>
          <w:color w:val="000000"/>
          <w:kern w:val="0"/>
          <w:sz w:val="21"/>
          <w:szCs w:val="21"/>
          <w:lang w:val="en-US" w:eastAsia="zh-CN" w:bidi="zh-CN"/>
        </w:rPr>
        <w:t>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kern w:val="0"/>
          <w:sz w:val="21"/>
          <w:szCs w:val="21"/>
          <w:lang w:val="en-US" w:eastAsia="zh-Hans" w:bidi="zh-CN"/>
        </w:rPr>
        <w:t>中标人还应</w:t>
      </w:r>
      <w:r>
        <w:rPr>
          <w:rFonts w:hint="eastAsia" w:ascii="仿宋" w:hAnsi="仿宋" w:eastAsia="仿宋" w:cs="仿宋"/>
          <w:color w:val="000000"/>
          <w:kern w:val="0"/>
          <w:sz w:val="21"/>
          <w:szCs w:val="21"/>
          <w:lang w:val="en-US" w:eastAsia="zh-CN" w:bidi="zh-CN"/>
        </w:rPr>
        <w:t>负责赔偿采购人由此而遭受的全部损失。</w:t>
      </w:r>
    </w:p>
    <w:p w14:paraId="0C2B811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（4）中标人保证其</w:t>
      </w:r>
      <w:r>
        <w:rPr>
          <w:rFonts w:hint="eastAsia" w:ascii="仿宋" w:hAnsi="仿宋" w:eastAsia="仿宋" w:cs="仿宋"/>
          <w:color w:val="000000"/>
          <w:kern w:val="0"/>
          <w:sz w:val="21"/>
          <w:szCs w:val="21"/>
          <w:lang w:val="en-US" w:eastAsia="zh-Hans" w:bidi="zh-CN"/>
        </w:rPr>
        <w:t>配送</w:t>
      </w:r>
      <w:r>
        <w:rPr>
          <w:rFonts w:hint="eastAsia" w:ascii="仿宋" w:hAnsi="仿宋" w:eastAsia="仿宋" w:cs="仿宋"/>
          <w:color w:val="000000"/>
          <w:kern w:val="0"/>
          <w:sz w:val="21"/>
          <w:szCs w:val="21"/>
          <w:lang w:val="en-US" w:eastAsia="zh-CN" w:bidi="zh-CN"/>
        </w:rPr>
        <w:t>货品的安全可靠性。在正常使用下不应对使用者造成任何人身伤害，如因产品质量或</w:t>
      </w:r>
      <w:r>
        <w:rPr>
          <w:rFonts w:hint="default" w:ascii="仿宋" w:hAnsi="仿宋" w:eastAsia="仿宋" w:cs="仿宋"/>
          <w:color w:val="000000"/>
          <w:kern w:val="0"/>
          <w:sz w:val="21"/>
          <w:szCs w:val="21"/>
          <w:lang w:val="en-US" w:eastAsia="zh-CN" w:bidi="zh-CN"/>
        </w:rPr>
        <w:t>标识</w:t>
      </w:r>
      <w:r>
        <w:rPr>
          <w:rFonts w:hint="eastAsia" w:ascii="仿宋" w:hAnsi="仿宋" w:eastAsia="仿宋" w:cs="仿宋"/>
          <w:color w:val="000000"/>
          <w:kern w:val="0"/>
          <w:sz w:val="21"/>
          <w:szCs w:val="21"/>
          <w:lang w:val="en-US" w:eastAsia="zh-CN" w:bidi="zh-CN"/>
        </w:rPr>
        <w:t>不明确而对使用者造成损失的，由中标人承担相应责任。</w:t>
      </w:r>
    </w:p>
    <w:p w14:paraId="4337998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2C5D7A3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（6）中标人保证所供耗材有效期不低于1年，自通过最终验收之日起，确保采购人在使用耗材的过程中安全、有效。</w:t>
      </w:r>
    </w:p>
    <w:p w14:paraId="49E841C9">
      <w:pPr>
        <w:keepNext w:val="0"/>
        <w:keepLines w:val="0"/>
        <w:pageBreakBefore w:val="0"/>
        <w:widowControl w:val="0"/>
        <w:numPr>
          <w:ilvl w:val="0"/>
          <w:numId w:val="0"/>
        </w:numPr>
        <w:kinsoku/>
        <w:wordWrap/>
        <w:overflowPunct/>
        <w:topLinePunct w:val="0"/>
        <w:autoSpaceDE/>
        <w:autoSpaceDN/>
        <w:bidi w:val="0"/>
        <w:snapToGrid/>
        <w:spacing w:line="240" w:lineRule="auto"/>
        <w:ind w:firstLine="482" w:firstLineChars="200"/>
        <w:jc w:val="left"/>
        <w:rPr>
          <w:rFonts w:hint="eastAsia" w:ascii="楷体" w:hAnsi="楷体" w:eastAsia="楷体"/>
          <w:b/>
          <w:bCs/>
          <w:color w:val="000000"/>
          <w:sz w:val="24"/>
          <w:szCs w:val="24"/>
          <w:highlight w:val="none"/>
          <w:shd w:val="clear" w:color="auto" w:fill="auto"/>
          <w:lang w:val="en-US" w:eastAsia="zh-CN"/>
        </w:rPr>
      </w:pPr>
      <w:r>
        <w:rPr>
          <w:rFonts w:hint="eastAsia" w:ascii="楷体" w:hAnsi="楷体" w:eastAsia="楷体"/>
          <w:b/>
          <w:bCs/>
          <w:color w:val="000000"/>
          <w:sz w:val="24"/>
          <w:szCs w:val="24"/>
          <w:highlight w:val="none"/>
          <w:shd w:val="clear" w:color="auto" w:fill="auto"/>
          <w:lang w:val="en-US" w:eastAsia="zh-CN"/>
        </w:rPr>
        <w:t>七、包装和运输</w:t>
      </w:r>
    </w:p>
    <w:p w14:paraId="36EAC31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 xml:space="preserve">（1）成交投标人须严格按照《商品包装政府采购需求标准(试行)》、《快递包装政府采购需 求标准(试行)》(财办库〔2020〕123 号)的要求进行产品及相关快递服务的包装。 </w:t>
      </w:r>
    </w:p>
    <w:p w14:paraId="1C694E8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2392A39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（3）本次采购的标的物需要运输，投标人在合同约定的时间内将标的物运输至合同约定地点。</w:t>
      </w:r>
    </w:p>
    <w:p w14:paraId="40911DC8">
      <w:pPr>
        <w:pStyle w:val="6"/>
        <w:jc w:val="left"/>
        <w:outlineLvl w:val="1"/>
        <w:rPr>
          <w:rFonts w:hint="eastAsia" w:ascii="仿宋" w:hAnsi="仿宋" w:eastAsia="仿宋" w:cs="仿宋"/>
          <w:highlight w:val="none"/>
        </w:rPr>
      </w:pPr>
      <w:r>
        <w:rPr>
          <w:rFonts w:hint="eastAsia" w:ascii="仿宋" w:hAnsi="仿宋" w:eastAsia="仿宋" w:cs="仿宋"/>
          <w:b/>
          <w:sz w:val="28"/>
          <w:highlight w:val="none"/>
        </w:rPr>
        <w:t>3.4.其他要求</w:t>
      </w:r>
    </w:p>
    <w:p w14:paraId="0092EBE4">
      <w:pPr>
        <w:pStyle w:val="7"/>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default" w:ascii="Times New Roman" w:hAnsi="Times New Roman" w:eastAsia="仿宋"/>
          <w:b/>
          <w:bCs/>
          <w:color w:val="000000"/>
          <w:sz w:val="24"/>
          <w:szCs w:val="24"/>
          <w:highlight w:val="none"/>
          <w:shd w:val="clear" w:color="auto" w:fill="auto"/>
          <w:lang w:val="en-US" w:eastAsia="zh-CN"/>
        </w:rPr>
      </w:pPr>
      <w:r>
        <w:rPr>
          <w:rFonts w:hint="eastAsia" w:ascii="Times New Roman" w:hAnsi="Times New Roman" w:eastAsia="仿宋"/>
          <w:b/>
          <w:bCs/>
          <w:color w:val="000000"/>
          <w:sz w:val="24"/>
          <w:szCs w:val="24"/>
          <w:highlight w:val="none"/>
          <w:shd w:val="clear" w:color="auto" w:fill="auto"/>
          <w:lang w:val="en-US" w:eastAsia="zh-CN"/>
        </w:rPr>
        <w:t>1.合同管理安排</w:t>
      </w:r>
    </w:p>
    <w:p w14:paraId="6EA93A0A">
      <w:pPr>
        <w:pStyle w:val="7"/>
        <w:keepNext w:val="0"/>
        <w:keepLines w:val="0"/>
        <w:pageBreakBefore w:val="0"/>
        <w:widowControl w:val="0"/>
        <w:kinsoku/>
        <w:wordWrap/>
        <w:overflowPunct/>
        <w:topLinePunct w:val="0"/>
        <w:autoSpaceDE/>
        <w:autoSpaceDN/>
        <w:bidi w:val="0"/>
        <w:adjustRightInd/>
        <w:snapToGrid/>
        <w:spacing w:line="320" w:lineRule="exact"/>
        <w:ind w:firstLine="442" w:firstLineChars="200"/>
        <w:textAlignment w:val="auto"/>
        <w:rPr>
          <w:rFonts w:ascii="Times New Roman" w:hAnsi="Times New Roman" w:eastAsia="仿宋"/>
          <w:color w:val="000000"/>
          <w:sz w:val="22"/>
          <w:szCs w:val="22"/>
          <w:highlight w:val="none"/>
          <w:shd w:val="clear" w:color="auto" w:fill="auto"/>
          <w:lang w:val="en-US" w:eastAsia="zh-CN"/>
        </w:rPr>
      </w:pPr>
      <w:r>
        <w:rPr>
          <w:rFonts w:hint="eastAsia" w:ascii="Times New Roman" w:hAnsi="Times New Roman" w:eastAsia="仿宋"/>
          <w:b/>
          <w:bCs/>
          <w:color w:val="000000"/>
          <w:sz w:val="22"/>
          <w:szCs w:val="22"/>
          <w:highlight w:val="none"/>
          <w:shd w:val="clear" w:color="auto" w:fill="auto"/>
          <w:lang w:val="en-US" w:eastAsia="zh-CN"/>
        </w:rPr>
        <w:t>1.1</w:t>
      </w:r>
      <w:r>
        <w:rPr>
          <w:rFonts w:ascii="Times New Roman" w:hAnsi="Times New Roman" w:eastAsia="仿宋"/>
          <w:b/>
          <w:bCs/>
          <w:color w:val="000000"/>
          <w:sz w:val="22"/>
          <w:szCs w:val="22"/>
          <w:highlight w:val="none"/>
          <w:shd w:val="clear" w:color="auto" w:fill="auto"/>
          <w:lang w:eastAsia="zh-CN"/>
        </w:rPr>
        <w:t>是否为据实结算：</w:t>
      </w:r>
      <w:r>
        <w:rPr>
          <w:rFonts w:hint="eastAsia" w:ascii="Times New Roman" w:hAnsi="Times New Roman" w:eastAsia="仿宋"/>
          <w:color w:val="000000"/>
          <w:sz w:val="22"/>
          <w:szCs w:val="22"/>
          <w:highlight w:val="none"/>
          <w:shd w:val="clear" w:color="auto" w:fill="auto"/>
          <w:lang w:eastAsia="zh-CN"/>
        </w:rPr>
        <w:t>☑</w:t>
      </w:r>
      <w:r>
        <w:rPr>
          <w:rFonts w:ascii="Times New Roman" w:hAnsi="Times New Roman" w:eastAsia="仿宋"/>
          <w:color w:val="000000"/>
          <w:sz w:val="22"/>
          <w:szCs w:val="22"/>
          <w:highlight w:val="none"/>
          <w:shd w:val="clear" w:color="auto" w:fill="auto"/>
          <w:lang w:eastAsia="zh-CN"/>
        </w:rPr>
        <w:t>是</w:t>
      </w:r>
      <w:r>
        <w:rPr>
          <w:rFonts w:hint="eastAsia" w:ascii="Times New Roman" w:hAnsi="Times New Roman" w:eastAsia="仿宋"/>
          <w:color w:val="000000"/>
          <w:sz w:val="22"/>
          <w:szCs w:val="22"/>
          <w:highlight w:val="none"/>
          <w:shd w:val="clear" w:color="auto" w:fill="auto"/>
          <w:lang w:eastAsia="zh-CN"/>
        </w:rPr>
        <w:t>□</w:t>
      </w:r>
      <w:r>
        <w:rPr>
          <w:rFonts w:ascii="Times New Roman" w:hAnsi="Times New Roman" w:eastAsia="仿宋"/>
          <w:color w:val="000000"/>
          <w:sz w:val="22"/>
          <w:szCs w:val="22"/>
          <w:highlight w:val="none"/>
          <w:shd w:val="clear" w:color="auto" w:fill="auto"/>
        </w:rPr>
        <w:t>否</w:t>
      </w:r>
    </w:p>
    <w:p w14:paraId="68C5D897">
      <w:pPr>
        <w:keepNext w:val="0"/>
        <w:keepLines w:val="0"/>
        <w:pageBreakBefore w:val="0"/>
        <w:widowControl w:val="0"/>
        <w:kinsoku/>
        <w:wordWrap/>
        <w:overflowPunct/>
        <w:topLinePunct w:val="0"/>
        <w:autoSpaceDE/>
        <w:autoSpaceDN/>
        <w:bidi w:val="0"/>
        <w:adjustRightInd/>
        <w:snapToGrid/>
        <w:spacing w:line="320" w:lineRule="exact"/>
        <w:ind w:firstLine="442" w:firstLineChars="200"/>
        <w:jc w:val="left"/>
        <w:textAlignment w:val="auto"/>
        <w:rPr>
          <w:rFonts w:ascii="Times New Roman" w:hAnsi="Times New Roman" w:eastAsia="仿宋"/>
          <w:color w:val="000000"/>
          <w:sz w:val="22"/>
          <w:szCs w:val="22"/>
          <w:highlight w:val="none"/>
          <w:shd w:val="clear" w:color="auto" w:fill="auto"/>
          <w:lang w:val="en-US" w:eastAsia="zh-CN"/>
        </w:rPr>
      </w:pPr>
      <w:r>
        <w:rPr>
          <w:rFonts w:hint="eastAsia" w:ascii="Times New Roman" w:hAnsi="Times New Roman" w:eastAsia="仿宋"/>
          <w:b/>
          <w:bCs/>
          <w:color w:val="000000"/>
          <w:sz w:val="22"/>
          <w:szCs w:val="22"/>
          <w:highlight w:val="none"/>
          <w:shd w:val="clear" w:color="auto" w:fill="auto"/>
          <w:lang w:val="en-US" w:eastAsia="zh-CN"/>
        </w:rPr>
        <w:t>1.2合同履行期限：</w:t>
      </w:r>
      <w:r>
        <w:rPr>
          <w:rFonts w:hint="eastAsia" w:eastAsia="仿宋"/>
          <w:b/>
          <w:bCs/>
          <w:color w:val="000000"/>
          <w:sz w:val="22"/>
          <w:szCs w:val="22"/>
          <w:highlight w:val="none"/>
          <w:u w:val="single"/>
          <w:shd w:val="clear" w:color="auto" w:fill="auto"/>
          <w:lang w:val="en-US" w:eastAsia="zh-CN"/>
        </w:rPr>
        <w:t>3</w:t>
      </w:r>
      <w:r>
        <w:rPr>
          <w:rFonts w:hint="eastAsia" w:ascii="Times New Roman" w:hAnsi="Times New Roman" w:eastAsia="仿宋"/>
          <w:b w:val="0"/>
          <w:bCs w:val="0"/>
          <w:color w:val="000000"/>
          <w:sz w:val="22"/>
          <w:szCs w:val="22"/>
          <w:highlight w:val="none"/>
          <w:u w:val="single"/>
          <w:shd w:val="clear" w:color="auto" w:fill="auto"/>
          <w:lang w:val="en-US" w:eastAsia="zh-CN"/>
        </w:rPr>
        <w:t>年。</w:t>
      </w:r>
    </w:p>
    <w:p w14:paraId="4E34306C">
      <w:pPr>
        <w:keepNext w:val="0"/>
        <w:keepLines w:val="0"/>
        <w:pageBreakBefore w:val="0"/>
        <w:widowControl w:val="0"/>
        <w:kinsoku/>
        <w:wordWrap/>
        <w:overflowPunct/>
        <w:topLinePunct w:val="0"/>
        <w:autoSpaceDE/>
        <w:autoSpaceDN/>
        <w:bidi w:val="0"/>
        <w:adjustRightInd/>
        <w:snapToGrid/>
        <w:spacing w:line="320" w:lineRule="exact"/>
        <w:ind w:firstLine="442" w:firstLineChars="200"/>
        <w:jc w:val="left"/>
        <w:textAlignment w:val="auto"/>
        <w:rPr>
          <w:rFonts w:hint="eastAsia" w:ascii="Times New Roman" w:hAnsi="Times New Roman" w:eastAsia="仿宋" w:cs="Times New Roman"/>
          <w:color w:val="auto"/>
          <w:sz w:val="22"/>
          <w:szCs w:val="22"/>
          <w:highlight w:val="none"/>
          <w:u w:val="single"/>
          <w:shd w:val="clear" w:color="auto" w:fill="auto"/>
          <w:lang w:val="en-US" w:eastAsia="zh-CN"/>
        </w:rPr>
      </w:pPr>
      <w:r>
        <w:rPr>
          <w:rFonts w:hint="eastAsia" w:ascii="Times New Roman" w:hAnsi="Times New Roman" w:eastAsia="仿宋"/>
          <w:b/>
          <w:bCs/>
          <w:color w:val="000000"/>
          <w:sz w:val="22"/>
          <w:szCs w:val="22"/>
          <w:highlight w:val="none"/>
          <w:shd w:val="clear" w:color="auto" w:fill="auto"/>
          <w:lang w:val="en-US" w:eastAsia="zh-CN"/>
        </w:rPr>
        <w:t>1.3合同支付约定：</w:t>
      </w:r>
      <w:r>
        <w:rPr>
          <w:rFonts w:hint="eastAsia" w:ascii="仿宋" w:hAnsi="仿宋" w:eastAsia="仿宋" w:cs="仿宋"/>
          <w:color w:val="000000"/>
          <w:kern w:val="0"/>
          <w:sz w:val="21"/>
          <w:szCs w:val="21"/>
          <w:u w:val="single"/>
          <w:lang w:val="en-US" w:eastAsia="zh-CN" w:bidi="zh-CN"/>
        </w:rPr>
        <w:t>双方同意以采购人财务制度规定的付款时间及付款要求进行结算，投标人已完全了解并清楚采购人的财务制度，投标人对采购人财务制度规定的付款要求及付款时间不持异议。</w:t>
      </w:r>
    </w:p>
    <w:p w14:paraId="7BE52A74">
      <w:pPr>
        <w:keepNext w:val="0"/>
        <w:keepLines w:val="0"/>
        <w:pageBreakBefore w:val="0"/>
        <w:widowControl w:val="0"/>
        <w:kinsoku/>
        <w:wordWrap/>
        <w:overflowPunct/>
        <w:topLinePunct w:val="0"/>
        <w:autoSpaceDE/>
        <w:autoSpaceDN/>
        <w:bidi w:val="0"/>
        <w:adjustRightInd/>
        <w:snapToGrid/>
        <w:spacing w:line="320" w:lineRule="exact"/>
        <w:ind w:firstLine="442" w:firstLineChars="200"/>
        <w:jc w:val="left"/>
        <w:textAlignment w:val="auto"/>
        <w:rPr>
          <w:rFonts w:ascii="Times New Roman" w:hAnsi="Times New Roman" w:eastAsia="仿宋"/>
          <w:b/>
          <w:bCs/>
          <w:color w:val="000000"/>
          <w:sz w:val="22"/>
          <w:szCs w:val="22"/>
          <w:highlight w:val="none"/>
          <w:shd w:val="clear" w:color="auto" w:fill="auto"/>
          <w:lang w:val="en-US" w:eastAsia="zh-CN"/>
        </w:rPr>
      </w:pPr>
      <w:r>
        <w:rPr>
          <w:rFonts w:hint="eastAsia" w:ascii="Times New Roman" w:hAnsi="Times New Roman" w:eastAsia="仿宋"/>
          <w:b/>
          <w:bCs/>
          <w:color w:val="000000"/>
          <w:sz w:val="22"/>
          <w:szCs w:val="22"/>
          <w:highlight w:val="none"/>
          <w:shd w:val="clear" w:color="auto" w:fill="auto"/>
          <w:lang w:val="en-US" w:eastAsia="zh-CN"/>
        </w:rPr>
        <w:t>1.4</w:t>
      </w:r>
      <w:r>
        <w:rPr>
          <w:rFonts w:ascii="Times New Roman" w:hAnsi="Times New Roman" w:eastAsia="仿宋"/>
          <w:b/>
          <w:bCs/>
          <w:color w:val="000000"/>
          <w:sz w:val="22"/>
          <w:szCs w:val="22"/>
          <w:highlight w:val="none"/>
          <w:shd w:val="clear" w:color="auto" w:fill="auto"/>
        </w:rPr>
        <w:t>违约责任与解决争议的方法：</w:t>
      </w:r>
    </w:p>
    <w:p w14:paraId="76D5394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b/>
          <w:bCs/>
          <w:color w:val="000000"/>
          <w:kern w:val="0"/>
          <w:sz w:val="21"/>
          <w:szCs w:val="21"/>
          <w:lang w:val="en-US" w:eastAsia="zh-CN" w:bidi="zh-CN"/>
        </w:rPr>
      </w:pPr>
      <w:r>
        <w:rPr>
          <w:rFonts w:hint="default" w:ascii="仿宋" w:hAnsi="仿宋" w:eastAsia="仿宋" w:cs="仿宋"/>
          <w:b/>
          <w:bCs/>
          <w:color w:val="000000"/>
          <w:kern w:val="0"/>
          <w:sz w:val="21"/>
          <w:szCs w:val="21"/>
          <w:lang w:val="en-US" w:eastAsia="zh-CN" w:bidi="zh-CN"/>
        </w:rPr>
        <w:t>违约责任</w:t>
      </w:r>
    </w:p>
    <w:p w14:paraId="35002DE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default" w:ascii="仿宋" w:hAnsi="仿宋" w:eastAsia="仿宋" w:cs="仿宋"/>
          <w:color w:val="000000"/>
          <w:kern w:val="0"/>
          <w:sz w:val="21"/>
          <w:szCs w:val="21"/>
          <w:lang w:val="en-US" w:eastAsia="zh-CN" w:bidi="zh-CN"/>
        </w:rPr>
        <w:t>1</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逾期15日内不能</w:t>
      </w:r>
      <w:r>
        <w:rPr>
          <w:rFonts w:hint="eastAsia" w:ascii="仿宋" w:hAnsi="仿宋" w:eastAsia="仿宋" w:cs="仿宋"/>
          <w:color w:val="000000"/>
          <w:kern w:val="0"/>
          <w:sz w:val="21"/>
          <w:szCs w:val="21"/>
          <w:lang w:val="en-US" w:eastAsia="zh-Hans" w:bidi="zh-CN"/>
        </w:rPr>
        <w:t>配送</w:t>
      </w:r>
      <w:r>
        <w:rPr>
          <w:rFonts w:hint="default" w:ascii="仿宋" w:hAnsi="仿宋" w:eastAsia="仿宋" w:cs="仿宋"/>
          <w:color w:val="000000"/>
          <w:kern w:val="0"/>
          <w:sz w:val="21"/>
          <w:szCs w:val="21"/>
          <w:lang w:val="en-US" w:eastAsia="zh-CN" w:bidi="zh-CN"/>
        </w:rPr>
        <w:t>采购人所需医用耗材的，应向采购人每日支付该批次货款千分之三的违约金。</w:t>
      </w:r>
    </w:p>
    <w:p w14:paraId="1BC3E46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default" w:ascii="仿宋" w:hAnsi="仿宋" w:eastAsia="仿宋" w:cs="仿宋"/>
          <w:color w:val="000000"/>
          <w:kern w:val="0"/>
          <w:sz w:val="21"/>
          <w:szCs w:val="21"/>
          <w:lang w:val="en-US" w:eastAsia="zh-CN" w:bidi="zh-CN"/>
        </w:rPr>
        <w:t>2</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逾期15日及以上不能</w:t>
      </w:r>
      <w:r>
        <w:rPr>
          <w:rFonts w:hint="eastAsia" w:ascii="仿宋" w:hAnsi="仿宋" w:eastAsia="仿宋" w:cs="仿宋"/>
          <w:color w:val="000000"/>
          <w:kern w:val="0"/>
          <w:sz w:val="21"/>
          <w:szCs w:val="21"/>
          <w:lang w:val="en-US" w:eastAsia="zh-Hans" w:bidi="zh-CN"/>
        </w:rPr>
        <w:t>配送</w:t>
      </w:r>
      <w:r>
        <w:rPr>
          <w:rFonts w:hint="default" w:ascii="仿宋" w:hAnsi="仿宋" w:eastAsia="仿宋" w:cs="仿宋"/>
          <w:color w:val="000000"/>
          <w:kern w:val="0"/>
          <w:sz w:val="21"/>
          <w:szCs w:val="21"/>
          <w:lang w:val="en-US" w:eastAsia="zh-CN" w:bidi="zh-CN"/>
        </w:rPr>
        <w:t>以上产品的，视同不能供货，须向采购人支付该批次货款的10%的违约金，同时采购人可以单方面解除采购合同。</w:t>
      </w:r>
    </w:p>
    <w:p w14:paraId="579AFD2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default" w:ascii="仿宋" w:hAnsi="仿宋" w:eastAsia="仿宋" w:cs="仿宋"/>
          <w:color w:val="000000"/>
          <w:kern w:val="0"/>
          <w:sz w:val="21"/>
          <w:szCs w:val="21"/>
          <w:lang w:val="en-US" w:eastAsia="zh-CN" w:bidi="zh-CN"/>
        </w:rPr>
        <w:t>3</w:t>
      </w:r>
      <w:r>
        <w:rPr>
          <w:rFonts w:hint="eastAsia" w:ascii="仿宋" w:hAnsi="仿宋" w:eastAsia="仿宋" w:cs="仿宋"/>
          <w:color w:val="000000"/>
          <w:kern w:val="0"/>
          <w:sz w:val="21"/>
          <w:szCs w:val="21"/>
          <w:lang w:val="en-US" w:eastAsia="zh-CN" w:bidi="zh-CN"/>
        </w:rPr>
        <w:t>.</w:t>
      </w:r>
      <w:r>
        <w:rPr>
          <w:rFonts w:hint="default" w:ascii="仿宋" w:hAnsi="仿宋" w:eastAsia="仿宋" w:cs="仿宋"/>
          <w:color w:val="000000"/>
          <w:kern w:val="0"/>
          <w:sz w:val="21"/>
          <w:szCs w:val="21"/>
          <w:lang w:val="en-US" w:eastAsia="zh-CN" w:bidi="zh-CN"/>
        </w:rPr>
        <w:t>若因</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原因造成采购人被监管部门通报三次及以上或者造成采购人违规采购，采购人有权单方面解除采购合同。同时，采购人有权要求</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支付该批货物价款20%的违约金。</w:t>
      </w:r>
    </w:p>
    <w:p w14:paraId="0CF3954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default" w:ascii="仿宋" w:hAnsi="仿宋" w:eastAsia="仿宋" w:cs="仿宋"/>
          <w:color w:val="000000"/>
          <w:kern w:val="0"/>
          <w:sz w:val="21"/>
          <w:szCs w:val="21"/>
          <w:lang w:val="en-US" w:eastAsia="zh-CN" w:bidi="zh-CN"/>
        </w:rPr>
        <w:t>4</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销售的产品若发生严重医疗不良事件或被国家法定检测机构检测为不合格产品，视为</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违约导致不能实现采购合同目的，采购人有权单方面解除采购合同，并要求</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限期收回不合格产品，并要求</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需承担合同价款20%的违约金，违约金不足以弥补采购人损失的，</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还应当补足。即使产品已经验收入库（或安装调试完毕）后，采购人才发现产品为不合格产品的，也视为</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违约，</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应当承担本条约定的责任。同时采购人有权退回库存产品。</w:t>
      </w:r>
    </w:p>
    <w:p w14:paraId="6ECA45E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default" w:ascii="仿宋" w:hAnsi="仿宋" w:eastAsia="仿宋" w:cs="仿宋"/>
          <w:color w:val="000000"/>
          <w:kern w:val="0"/>
          <w:sz w:val="21"/>
          <w:szCs w:val="21"/>
          <w:lang w:val="en-US" w:eastAsia="zh-CN" w:bidi="zh-CN"/>
        </w:rPr>
        <w:t>5</w:t>
      </w:r>
      <w:r>
        <w:rPr>
          <w:rFonts w:hint="eastAsia" w:ascii="仿宋" w:hAnsi="仿宋" w:eastAsia="仿宋" w:cs="仿宋"/>
          <w:color w:val="000000"/>
          <w:kern w:val="0"/>
          <w:sz w:val="21"/>
          <w:szCs w:val="21"/>
          <w:lang w:val="en-US" w:eastAsia="zh-CN" w:bidi="zh-CN"/>
        </w:rPr>
        <w:t>.</w:t>
      </w:r>
      <w:r>
        <w:rPr>
          <w:rFonts w:hint="default" w:ascii="仿宋" w:hAnsi="仿宋" w:eastAsia="仿宋" w:cs="仿宋"/>
          <w:color w:val="000000"/>
          <w:kern w:val="0"/>
          <w:sz w:val="21"/>
          <w:szCs w:val="21"/>
          <w:lang w:val="en-US" w:eastAsia="zh-CN" w:bidi="zh-CN"/>
        </w:rPr>
        <w:t>若根据法律规定或协议约定产生采购人退、换货或拒绝收货情形，由</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承担退换货产生的各项税、费或其他支出。</w:t>
      </w:r>
    </w:p>
    <w:p w14:paraId="59298FE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default" w:ascii="仿宋" w:hAnsi="仿宋" w:eastAsia="仿宋" w:cs="仿宋"/>
          <w:color w:val="000000"/>
          <w:kern w:val="0"/>
          <w:sz w:val="21"/>
          <w:szCs w:val="21"/>
          <w:lang w:val="en-US" w:eastAsia="zh-CN" w:bidi="zh-CN"/>
        </w:rPr>
        <w:t>6</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不能保证及时供货，除应当向采购人承担违约责任外，采购人仍有权单方面解除采购合同。</w:t>
      </w:r>
    </w:p>
    <w:p w14:paraId="29A3FF5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default" w:ascii="仿宋" w:hAnsi="仿宋" w:eastAsia="仿宋" w:cs="仿宋"/>
          <w:color w:val="000000"/>
          <w:kern w:val="0"/>
          <w:sz w:val="21"/>
          <w:szCs w:val="21"/>
          <w:lang w:val="en-US" w:eastAsia="zh-CN" w:bidi="zh-CN"/>
        </w:rPr>
        <w:t>7</w:t>
      </w:r>
      <w:r>
        <w:rPr>
          <w:rFonts w:hint="eastAsia" w:ascii="仿宋" w:hAnsi="仿宋" w:eastAsia="仿宋" w:cs="仿宋"/>
          <w:color w:val="000000"/>
          <w:kern w:val="0"/>
          <w:sz w:val="21"/>
          <w:szCs w:val="21"/>
          <w:lang w:val="en-US" w:eastAsia="zh-CN" w:bidi="zh-CN"/>
        </w:rPr>
        <w:t>.</w:t>
      </w:r>
      <w:r>
        <w:rPr>
          <w:rFonts w:hint="default" w:ascii="仿宋" w:hAnsi="仿宋" w:eastAsia="仿宋" w:cs="仿宋"/>
          <w:color w:val="000000"/>
          <w:kern w:val="0"/>
          <w:sz w:val="21"/>
          <w:szCs w:val="21"/>
          <w:lang w:val="en-US" w:eastAsia="zh-CN" w:bidi="zh-CN"/>
        </w:rPr>
        <w:t>因</w:t>
      </w:r>
      <w:r>
        <w:rPr>
          <w:rFonts w:hint="eastAsia" w:ascii="仿宋" w:hAnsi="仿宋" w:eastAsia="仿宋" w:cs="仿宋"/>
          <w:color w:val="000000"/>
          <w:kern w:val="0"/>
          <w:sz w:val="21"/>
          <w:szCs w:val="21"/>
          <w:lang w:val="en-US" w:eastAsia="zh-CN" w:bidi="zh-CN"/>
        </w:rPr>
        <w:t>中选人</w:t>
      </w:r>
      <w:r>
        <w:rPr>
          <w:rFonts w:hint="eastAsia" w:ascii="仿宋" w:hAnsi="仿宋" w:eastAsia="仿宋" w:cs="仿宋"/>
          <w:color w:val="000000"/>
          <w:kern w:val="0"/>
          <w:sz w:val="21"/>
          <w:szCs w:val="21"/>
          <w:lang w:val="en-US" w:eastAsia="zh-Hans" w:bidi="zh-CN"/>
        </w:rPr>
        <w:t>配送</w:t>
      </w:r>
      <w:r>
        <w:rPr>
          <w:rFonts w:hint="default" w:ascii="仿宋" w:hAnsi="仿宋" w:eastAsia="仿宋" w:cs="仿宋"/>
          <w:color w:val="000000"/>
          <w:kern w:val="0"/>
          <w:sz w:val="21"/>
          <w:szCs w:val="21"/>
          <w:lang w:val="en-US" w:eastAsia="zh-CN" w:bidi="zh-CN"/>
        </w:rPr>
        <w:t>的产品不合格造成采购人或第三人人身损害或财产损失的，由</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承担赔偿责任。</w:t>
      </w:r>
    </w:p>
    <w:p w14:paraId="2564154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default" w:ascii="仿宋" w:hAnsi="仿宋" w:eastAsia="仿宋" w:cs="仿宋"/>
          <w:color w:val="000000"/>
          <w:kern w:val="0"/>
          <w:sz w:val="21"/>
          <w:szCs w:val="21"/>
          <w:lang w:val="en-US" w:eastAsia="zh-CN" w:bidi="zh-CN"/>
        </w:rPr>
        <w:t>8</w:t>
      </w:r>
      <w:r>
        <w:rPr>
          <w:rFonts w:hint="eastAsia" w:ascii="仿宋" w:hAnsi="仿宋" w:eastAsia="仿宋" w:cs="仿宋"/>
          <w:color w:val="000000"/>
          <w:kern w:val="0"/>
          <w:sz w:val="21"/>
          <w:szCs w:val="21"/>
          <w:lang w:val="en-US" w:eastAsia="zh-CN" w:bidi="zh-CN"/>
        </w:rPr>
        <w:t>.</w:t>
      </w:r>
      <w:r>
        <w:rPr>
          <w:rFonts w:hint="default" w:ascii="仿宋" w:hAnsi="仿宋" w:eastAsia="仿宋" w:cs="仿宋"/>
          <w:color w:val="000000"/>
          <w:kern w:val="0"/>
          <w:sz w:val="21"/>
          <w:szCs w:val="21"/>
          <w:lang w:val="en-US" w:eastAsia="zh-CN" w:bidi="zh-CN"/>
        </w:rPr>
        <w:tab/>
      </w:r>
      <w:r>
        <w:rPr>
          <w:rFonts w:hint="default" w:ascii="仿宋" w:hAnsi="仿宋" w:eastAsia="仿宋" w:cs="仿宋"/>
          <w:color w:val="000000"/>
          <w:kern w:val="0"/>
          <w:sz w:val="21"/>
          <w:szCs w:val="21"/>
          <w:lang w:val="en-US" w:eastAsia="zh-CN" w:bidi="zh-CN"/>
        </w:rPr>
        <w:t>若因</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原因造成采购人挂网执行存在问题以及线上支付不及时、造成采购人未挂网采购或者存在其他问题的，</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应承担违约责任，且采购人有权要求</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支付该批货物价款20%的违约金，采购人有权单方面解除合同。</w:t>
      </w:r>
    </w:p>
    <w:p w14:paraId="143E7C0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b/>
          <w:bCs/>
          <w:color w:val="000000"/>
          <w:kern w:val="0"/>
          <w:sz w:val="21"/>
          <w:szCs w:val="21"/>
          <w:lang w:val="en-US" w:eastAsia="zh-CN" w:bidi="zh-CN"/>
        </w:rPr>
      </w:pPr>
      <w:r>
        <w:rPr>
          <w:rFonts w:hint="default" w:ascii="仿宋" w:hAnsi="仿宋" w:eastAsia="仿宋" w:cs="仿宋"/>
          <w:b/>
          <w:bCs/>
          <w:color w:val="000000"/>
          <w:kern w:val="0"/>
          <w:sz w:val="21"/>
          <w:szCs w:val="21"/>
          <w:lang w:val="en-US" w:eastAsia="zh-CN" w:bidi="zh-CN"/>
        </w:rPr>
        <w:t>解决合同纠纷的方式</w:t>
      </w:r>
    </w:p>
    <w:p w14:paraId="3AAB8FD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default" w:ascii="仿宋" w:hAnsi="仿宋" w:eastAsia="仿宋" w:cs="仿宋"/>
          <w:color w:val="000000"/>
          <w:kern w:val="0"/>
          <w:sz w:val="21"/>
          <w:szCs w:val="21"/>
          <w:lang w:val="en-US" w:eastAsia="zh-CN" w:bidi="zh-CN"/>
        </w:rPr>
        <w:t>1</w:t>
      </w:r>
      <w:r>
        <w:rPr>
          <w:rFonts w:hint="eastAsia" w:ascii="仿宋" w:hAnsi="仿宋" w:eastAsia="仿宋" w:cs="仿宋"/>
          <w:color w:val="000000"/>
          <w:kern w:val="0"/>
          <w:sz w:val="21"/>
          <w:szCs w:val="21"/>
          <w:lang w:val="en-US" w:eastAsia="zh-CN" w:bidi="zh-CN"/>
        </w:rPr>
        <w:t>.</w:t>
      </w:r>
      <w:r>
        <w:rPr>
          <w:rFonts w:hint="default" w:ascii="仿宋" w:hAnsi="仿宋" w:eastAsia="仿宋" w:cs="仿宋"/>
          <w:color w:val="000000"/>
          <w:kern w:val="0"/>
          <w:sz w:val="21"/>
          <w:szCs w:val="21"/>
          <w:lang w:val="en-US" w:eastAsia="zh-CN" w:bidi="zh-CN"/>
        </w:rPr>
        <w:t>因货物的质量问题发生的争议，由法定质量鉴定机构或其认可的质量鉴定机构进行质量鉴定。货物符合标准的，鉴定费由采购人承担；货物不符合质量标准的，鉴定费由</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承担。</w:t>
      </w:r>
    </w:p>
    <w:p w14:paraId="584265F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default" w:ascii="仿宋" w:hAnsi="仿宋" w:eastAsia="仿宋" w:cs="仿宋"/>
          <w:color w:val="000000"/>
          <w:kern w:val="0"/>
          <w:sz w:val="21"/>
          <w:szCs w:val="21"/>
          <w:lang w:val="en-US" w:eastAsia="zh-CN" w:bidi="zh-CN"/>
        </w:rPr>
        <w:t>2</w:t>
      </w:r>
      <w:r>
        <w:rPr>
          <w:rFonts w:hint="eastAsia" w:ascii="仿宋" w:hAnsi="仿宋" w:eastAsia="仿宋" w:cs="仿宋"/>
          <w:color w:val="000000"/>
          <w:kern w:val="0"/>
          <w:sz w:val="21"/>
          <w:szCs w:val="21"/>
          <w:lang w:val="en-US" w:eastAsia="zh-CN" w:bidi="zh-CN"/>
        </w:rPr>
        <w:t>.</w:t>
      </w:r>
      <w:r>
        <w:rPr>
          <w:rFonts w:hint="default" w:ascii="仿宋" w:hAnsi="仿宋" w:eastAsia="仿宋" w:cs="仿宋"/>
          <w:color w:val="000000"/>
          <w:kern w:val="0"/>
          <w:sz w:val="21"/>
          <w:szCs w:val="21"/>
          <w:lang w:val="en-US" w:eastAsia="zh-CN" w:bidi="zh-CN"/>
        </w:rPr>
        <w:t>合同履行期间，若双方发生争议，可协商或由有关部门调解解决，协商或调解不成的，可向采购人</w:t>
      </w:r>
      <w:r>
        <w:rPr>
          <w:rFonts w:hint="eastAsia" w:ascii="仿宋" w:hAnsi="仿宋" w:eastAsia="仿宋" w:cs="仿宋"/>
          <w:color w:val="000000"/>
          <w:kern w:val="0"/>
          <w:sz w:val="21"/>
          <w:szCs w:val="21"/>
          <w:lang w:val="en-US" w:eastAsia="zh-Hans" w:bidi="zh-CN"/>
        </w:rPr>
        <w:t>住所地</w:t>
      </w:r>
      <w:r>
        <w:rPr>
          <w:rFonts w:hint="default" w:ascii="仿宋" w:hAnsi="仿宋" w:eastAsia="仿宋" w:cs="仿宋"/>
          <w:color w:val="000000"/>
          <w:kern w:val="0"/>
          <w:sz w:val="21"/>
          <w:szCs w:val="21"/>
          <w:lang w:val="en-US" w:eastAsia="zh-CN" w:bidi="zh-CN"/>
        </w:rPr>
        <w:t>人民法院依法提起诉讼</w:t>
      </w:r>
      <w:r>
        <w:rPr>
          <w:rFonts w:hint="eastAsia" w:ascii="仿宋" w:hAnsi="仿宋" w:eastAsia="仿宋" w:cs="仿宋"/>
          <w:color w:val="000000"/>
          <w:kern w:val="0"/>
          <w:sz w:val="21"/>
          <w:szCs w:val="21"/>
          <w:lang w:val="en-US" w:eastAsia="zh-Hans" w:bidi="zh-CN"/>
        </w:rPr>
        <w:t>解决</w:t>
      </w:r>
      <w:r>
        <w:rPr>
          <w:rFonts w:hint="default" w:ascii="仿宋" w:hAnsi="仿宋" w:eastAsia="仿宋" w:cs="仿宋"/>
          <w:color w:val="000000"/>
          <w:kern w:val="0"/>
          <w:sz w:val="21"/>
          <w:szCs w:val="21"/>
          <w:lang w:val="en-US" w:eastAsia="zh-CN" w:bidi="zh-CN"/>
        </w:rPr>
        <w:t>。</w:t>
      </w:r>
    </w:p>
    <w:p w14:paraId="2E9746AF">
      <w:pPr>
        <w:pStyle w:val="6"/>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2.</w:t>
      </w:r>
      <w:r>
        <w:rPr>
          <w:rFonts w:ascii="Times New Roman" w:hAnsi="Times New Roman" w:eastAsia="仿宋"/>
          <w:b/>
          <w:bCs/>
          <w:color w:val="000000"/>
          <w:kern w:val="2"/>
          <w:sz w:val="24"/>
          <w:szCs w:val="24"/>
          <w:highlight w:val="none"/>
          <w:shd w:val="clear" w:color="auto" w:fill="auto"/>
          <w:lang w:val="en-US" w:eastAsia="zh-CN" w:bidi="ar-SA"/>
        </w:rPr>
        <w:t>履约验收方案</w:t>
      </w:r>
    </w:p>
    <w:p w14:paraId="1ADE066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2.1</w:t>
      </w:r>
      <w:r>
        <w:rPr>
          <w:rFonts w:hint="default" w:ascii="仿宋" w:hAnsi="仿宋" w:eastAsia="仿宋" w:cs="仿宋"/>
          <w:color w:val="000000"/>
          <w:kern w:val="0"/>
          <w:sz w:val="21"/>
          <w:szCs w:val="21"/>
          <w:lang w:val="en-US" w:eastAsia="zh-CN" w:bidi="zh-CN"/>
        </w:rPr>
        <w:t>履约验收程序</w:t>
      </w:r>
      <w:r>
        <w:rPr>
          <w:rFonts w:hint="eastAsia" w:ascii="仿宋" w:hAnsi="仿宋" w:eastAsia="仿宋" w:cs="仿宋"/>
          <w:color w:val="000000"/>
          <w:kern w:val="0"/>
          <w:sz w:val="21"/>
          <w:szCs w:val="21"/>
          <w:lang w:val="en-US" w:eastAsia="zh-CN" w:bidi="zh-CN"/>
        </w:rPr>
        <w:t>：分批次验收。</w:t>
      </w:r>
    </w:p>
    <w:p w14:paraId="5277C89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2.2</w:t>
      </w:r>
      <w:r>
        <w:rPr>
          <w:rFonts w:hint="default" w:ascii="仿宋" w:hAnsi="仿宋" w:eastAsia="仿宋" w:cs="仿宋"/>
          <w:color w:val="000000"/>
          <w:kern w:val="0"/>
          <w:sz w:val="21"/>
          <w:szCs w:val="21"/>
          <w:lang w:val="en-US" w:eastAsia="zh-CN" w:bidi="zh-CN"/>
        </w:rPr>
        <w:t>履约验收时间：合同期限内，根据采购人要求分批次送货，完成送货、验收入库视为验收完成</w:t>
      </w:r>
      <w:r>
        <w:rPr>
          <w:rFonts w:hint="eastAsia" w:ascii="仿宋" w:hAnsi="仿宋" w:eastAsia="仿宋" w:cs="仿宋"/>
          <w:color w:val="000000"/>
          <w:kern w:val="0"/>
          <w:sz w:val="21"/>
          <w:szCs w:val="21"/>
          <w:lang w:val="en-US" w:eastAsia="zh-CN" w:bidi="zh-CN"/>
        </w:rPr>
        <w:t>。</w:t>
      </w:r>
    </w:p>
    <w:p w14:paraId="1B62D94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2.3</w:t>
      </w:r>
      <w:r>
        <w:rPr>
          <w:rFonts w:hint="default" w:ascii="仿宋" w:hAnsi="仿宋" w:eastAsia="仿宋" w:cs="仿宋"/>
          <w:color w:val="000000"/>
          <w:kern w:val="0"/>
          <w:sz w:val="21"/>
          <w:szCs w:val="21"/>
          <w:lang w:val="en-US" w:eastAsia="zh-CN" w:bidi="zh-CN"/>
        </w:rPr>
        <w:t>验收组织的其他事项：</w:t>
      </w:r>
      <w:r>
        <w:rPr>
          <w:rFonts w:hint="eastAsia" w:ascii="仿宋" w:hAnsi="仿宋" w:eastAsia="仿宋" w:cs="仿宋"/>
          <w:color w:val="000000"/>
          <w:kern w:val="0"/>
          <w:sz w:val="21"/>
          <w:szCs w:val="21"/>
          <w:lang w:val="en-US" w:eastAsia="zh-CN" w:bidi="zh-CN"/>
        </w:rPr>
        <w:t>无。</w:t>
      </w:r>
    </w:p>
    <w:p w14:paraId="17E0ADC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2.4</w:t>
      </w:r>
      <w:r>
        <w:rPr>
          <w:rFonts w:hint="default" w:ascii="仿宋" w:hAnsi="仿宋" w:eastAsia="仿宋" w:cs="仿宋"/>
          <w:color w:val="000000"/>
          <w:kern w:val="0"/>
          <w:sz w:val="21"/>
          <w:szCs w:val="21"/>
          <w:lang w:val="en-US" w:eastAsia="zh-CN" w:bidi="zh-CN"/>
        </w:rPr>
        <w:t>技术履约验收内容：采购人按照本项目技术要求进行验收</w:t>
      </w:r>
      <w:r>
        <w:rPr>
          <w:rFonts w:hint="eastAsia" w:ascii="仿宋" w:hAnsi="仿宋" w:eastAsia="仿宋" w:cs="仿宋"/>
          <w:color w:val="000000"/>
          <w:kern w:val="0"/>
          <w:sz w:val="21"/>
          <w:szCs w:val="21"/>
          <w:lang w:val="en-US" w:eastAsia="zh-CN" w:bidi="zh-CN"/>
        </w:rPr>
        <w:t>。</w:t>
      </w:r>
    </w:p>
    <w:p w14:paraId="3C142ED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2.5</w:t>
      </w:r>
      <w:r>
        <w:rPr>
          <w:rFonts w:hint="default" w:ascii="仿宋" w:hAnsi="仿宋" w:eastAsia="仿宋" w:cs="仿宋"/>
          <w:color w:val="000000"/>
          <w:kern w:val="0"/>
          <w:sz w:val="21"/>
          <w:szCs w:val="21"/>
          <w:lang w:val="en-US" w:eastAsia="zh-CN" w:bidi="zh-CN"/>
        </w:rPr>
        <w:t>商务履约验收内容：采购人按照本项目商务要求进行验收</w:t>
      </w:r>
      <w:r>
        <w:rPr>
          <w:rFonts w:hint="eastAsia" w:ascii="仿宋" w:hAnsi="仿宋" w:eastAsia="仿宋" w:cs="仿宋"/>
          <w:color w:val="000000"/>
          <w:kern w:val="0"/>
          <w:sz w:val="21"/>
          <w:szCs w:val="21"/>
          <w:lang w:val="en-US" w:eastAsia="zh-CN" w:bidi="zh-CN"/>
        </w:rPr>
        <w:t>。</w:t>
      </w:r>
    </w:p>
    <w:p w14:paraId="6F0BFF8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2.6</w:t>
      </w:r>
      <w:r>
        <w:rPr>
          <w:rFonts w:hint="default" w:ascii="仿宋" w:hAnsi="仿宋" w:eastAsia="仿宋" w:cs="仿宋"/>
          <w:color w:val="000000"/>
          <w:kern w:val="0"/>
          <w:sz w:val="21"/>
          <w:szCs w:val="21"/>
          <w:lang w:val="en-US" w:eastAsia="zh-CN" w:bidi="zh-CN"/>
        </w:rPr>
        <w:t>履约收标准：</w:t>
      </w:r>
      <w:r>
        <w:rPr>
          <w:rFonts w:hint="eastAsia" w:ascii="仿宋" w:hAnsi="仿宋" w:eastAsia="仿宋" w:cs="仿宋"/>
          <w:color w:val="000000"/>
          <w:kern w:val="0"/>
          <w:sz w:val="21"/>
          <w:szCs w:val="21"/>
          <w:lang w:val="en-US" w:eastAsia="zh-CN" w:bidi="zh-CN"/>
        </w:rPr>
        <w:t>采购人按照本项目合同要求进行验收。</w:t>
      </w:r>
    </w:p>
    <w:p w14:paraId="43644744">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pPr>
      <w:r>
        <w:rPr>
          <w:rFonts w:hint="eastAsia" w:ascii="仿宋" w:hAnsi="仿宋" w:eastAsia="仿宋" w:cs="仿宋"/>
          <w:color w:val="000000"/>
          <w:kern w:val="0"/>
          <w:sz w:val="22"/>
          <w:szCs w:val="22"/>
          <w:highlight w:val="none"/>
          <w:u w:val="none"/>
          <w:lang w:val="en-US" w:eastAsia="zh-CN" w:bidi="ar"/>
        </w:rPr>
        <w:br w:type="textWrapping"/>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1C0239"/>
    <w:multiLevelType w:val="singleLevel"/>
    <w:tmpl w:val="541C0239"/>
    <w:lvl w:ilvl="0" w:tentative="0">
      <w:start w:val="6"/>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3467F3"/>
    <w:rsid w:val="10671E1E"/>
    <w:rsid w:val="1D4B1F5B"/>
    <w:rsid w:val="2FBB4C0E"/>
    <w:rsid w:val="412349E8"/>
    <w:rsid w:val="429A4C67"/>
    <w:rsid w:val="462E5BB0"/>
    <w:rsid w:val="494A5346"/>
    <w:rsid w:val="4C746529"/>
    <w:rsid w:val="6277501C"/>
    <w:rsid w:val="6FA200E4"/>
    <w:rsid w:val="6FFE396B"/>
    <w:rsid w:val="754C65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 w:type="paragraph" w:customStyle="1" w:styleId="7">
    <w:name w:val="正文文本1"/>
    <w:basedOn w:val="1"/>
    <w:qFormat/>
    <w:uiPriority w:val="0"/>
    <w:pPr>
      <w:spacing w:line="240" w:lineRule="auto"/>
      <w:jc w:val="left"/>
    </w:pPr>
    <w:rPr>
      <w:rFonts w:ascii="Calibri" w:hAnsi="Calibri" w:eastAsia="楷体"/>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4071</Words>
  <Characters>4207</Characters>
  <Lines>0</Lines>
  <Paragraphs>0</Paragraphs>
  <TotalTime>0</TotalTime>
  <ScaleCrop>false</ScaleCrop>
  <LinksUpToDate>false</LinksUpToDate>
  <CharactersWithSpaces>4216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2026-01-08T07:58:00Z</dcterms:created>
  <dc:creator>Administrator</dc:creator>
  <cp:lastModifiedBy>gg</cp:lastModifiedBy>
  <dcterms:modified xsi:type="dcterms:W3CDTF">2026-07-15T09:11:17Z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eyJoZGlkIjoiNWU1ZTcyN2UzZTk4NzhhZTBlZTMzNDViODhkOGE4YmUiLCJ1c2VySWQiOiI0MDk3MTE3ODQifQ==</vt:lpwstr>
  </property>
  <property fmtid="{D5CDD505-2E9C-101B-9397-08002B2CF9AE}" pid="4" name="ICV">
    <vt:lpwstr>14A2421C24BC4E3D8E793208E99BA9F4_12</vt:lpwstr>
  </property>
</Properties>
</file>