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A96F88">
      <w:pPr>
        <w:pStyle w:val="4"/>
        <w:jc w:val="center"/>
        <w:outlineLvl w:val="0"/>
        <w:rPr>
          <w:rFonts w:hint="eastAsia" w:ascii="仿宋" w:hAnsi="仿宋" w:eastAsia="仿宋" w:cs="仿宋"/>
          <w:highlight w:val="none"/>
        </w:rPr>
      </w:pPr>
      <w:bookmarkStart w:id="0" w:name="_Toc27801"/>
      <w:r>
        <w:rPr>
          <w:rFonts w:hint="eastAsia" w:ascii="仿宋" w:hAnsi="仿宋" w:eastAsia="仿宋" w:cs="仿宋"/>
          <w:b/>
          <w:sz w:val="36"/>
          <w:highlight w:val="none"/>
        </w:rPr>
        <w:t>第三章 技术、服务及其他要求</w:t>
      </w:r>
      <w:bookmarkEnd w:id="0"/>
    </w:p>
    <w:p w14:paraId="7B045267">
      <w:pPr>
        <w:pStyle w:val="4"/>
        <w:ind w:firstLine="480"/>
        <w:jc w:val="left"/>
        <w:rPr>
          <w:rFonts w:hint="eastAsia" w:ascii="仿宋" w:hAnsi="仿宋" w:eastAsia="仿宋" w:cs="仿宋"/>
          <w:highlight w:val="none"/>
        </w:rPr>
      </w:pPr>
      <w:r>
        <w:rPr>
          <w:rFonts w:hint="eastAsia" w:ascii="仿宋" w:hAnsi="仿宋" w:eastAsia="仿宋" w:cs="仿宋"/>
          <w:highlight w:val="none"/>
        </w:rPr>
        <w:t>（注：本章的技术、服务及其他要求中，带“★”的要求为实质性要求。</w:t>
      </w:r>
      <w:r>
        <w:rPr>
          <w:rFonts w:hint="eastAsia" w:ascii="仿宋" w:hAnsi="仿宋" w:eastAsia="仿宋" w:cs="仿宋"/>
          <w:highlight w:val="none"/>
          <w:lang w:eastAsia="zh-CN"/>
        </w:rPr>
        <w:t>采购人</w:t>
      </w:r>
      <w:r>
        <w:rPr>
          <w:rFonts w:hint="eastAsia" w:ascii="仿宋" w:hAnsi="仿宋" w:eastAsia="仿宋" w:cs="仿宋"/>
          <w:highlight w:val="none"/>
        </w:rPr>
        <w:t>、代理机构应当根据项目实际要求合理设定，并在第五章符合性审查中明确响应要求。）</w:t>
      </w:r>
    </w:p>
    <w:p w14:paraId="6F4291B8">
      <w:pPr>
        <w:pStyle w:val="4"/>
        <w:jc w:val="left"/>
        <w:outlineLvl w:val="1"/>
        <w:rPr>
          <w:rFonts w:hint="eastAsia" w:ascii="仿宋" w:hAnsi="仿宋" w:eastAsia="仿宋" w:cs="仿宋"/>
          <w:highlight w:val="none"/>
          <w:lang w:eastAsia="zh-CN"/>
        </w:rPr>
      </w:pPr>
      <w:r>
        <w:rPr>
          <w:rFonts w:hint="eastAsia" w:ascii="仿宋" w:hAnsi="仿宋" w:eastAsia="仿宋" w:cs="仿宋"/>
          <w:b/>
          <w:sz w:val="28"/>
          <w:highlight w:val="none"/>
        </w:rPr>
        <w:t>3.1.</w:t>
      </w:r>
      <w:r>
        <w:rPr>
          <w:rFonts w:hint="eastAsia" w:ascii="仿宋" w:hAnsi="仿宋" w:eastAsia="仿宋" w:cs="仿宋"/>
          <w:b/>
          <w:sz w:val="28"/>
          <w:highlight w:val="none"/>
          <w:lang w:val="en-US" w:eastAsia="zh-CN"/>
        </w:rPr>
        <w:t>标的情况</w:t>
      </w:r>
    </w:p>
    <w:tbl>
      <w:tblPr>
        <w:tblStyle w:val="2"/>
        <w:tblW w:w="4998"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26"/>
        <w:gridCol w:w="532"/>
        <w:gridCol w:w="790"/>
        <w:gridCol w:w="1400"/>
        <w:gridCol w:w="1369"/>
        <w:gridCol w:w="1069"/>
        <w:gridCol w:w="1177"/>
        <w:gridCol w:w="1756"/>
      </w:tblGrid>
      <w:tr w14:paraId="54D5FD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3" w:hRule="atLeast"/>
          <w:jc w:val="center"/>
        </w:trPr>
        <w:tc>
          <w:tcPr>
            <w:tcW w:w="250" w:type="pct"/>
            <w:vAlign w:val="center"/>
          </w:tcPr>
          <w:p w14:paraId="21A0FAAD">
            <w:pPr>
              <w:pStyle w:val="4"/>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包号</w:t>
            </w:r>
          </w:p>
        </w:tc>
        <w:tc>
          <w:tcPr>
            <w:tcW w:w="312" w:type="pct"/>
            <w:vAlign w:val="center"/>
          </w:tcPr>
          <w:p w14:paraId="7A846D47">
            <w:pPr>
              <w:pStyle w:val="4"/>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编号</w:t>
            </w:r>
          </w:p>
        </w:tc>
        <w:tc>
          <w:tcPr>
            <w:tcW w:w="463" w:type="pct"/>
            <w:vAlign w:val="center"/>
          </w:tcPr>
          <w:p w14:paraId="20ABF33C">
            <w:pPr>
              <w:pStyle w:val="4"/>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部门</w:t>
            </w:r>
          </w:p>
        </w:tc>
        <w:tc>
          <w:tcPr>
            <w:tcW w:w="821" w:type="pct"/>
            <w:vAlign w:val="center"/>
          </w:tcPr>
          <w:p w14:paraId="1582BBD2">
            <w:pPr>
              <w:pStyle w:val="4"/>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标的名称</w:t>
            </w:r>
          </w:p>
        </w:tc>
        <w:tc>
          <w:tcPr>
            <w:tcW w:w="803" w:type="pct"/>
            <w:vAlign w:val="center"/>
          </w:tcPr>
          <w:p w14:paraId="08E7368E">
            <w:pPr>
              <w:pStyle w:val="4"/>
              <w:jc w:val="center"/>
              <w:rPr>
                <w:rFonts w:hint="eastAsia" w:ascii="仿宋" w:hAnsi="仿宋" w:eastAsia="仿宋" w:cs="仿宋"/>
                <w:sz w:val="21"/>
                <w:szCs w:val="21"/>
                <w:lang w:val="en-US" w:eastAsia="zh-CN"/>
              </w:rPr>
            </w:pPr>
            <w:r>
              <w:rPr>
                <w:rFonts w:hint="eastAsia" w:ascii="仿宋" w:hAnsi="仿宋" w:eastAsia="仿宋" w:cs="仿宋"/>
                <w:highlight w:val="none"/>
              </w:rPr>
              <w:t>★</w:t>
            </w:r>
            <w:r>
              <w:rPr>
                <w:rFonts w:hint="eastAsia" w:ascii="仿宋" w:hAnsi="仿宋" w:eastAsia="仿宋" w:cs="仿宋"/>
                <w:sz w:val="21"/>
                <w:szCs w:val="21"/>
                <w:lang w:val="en-US" w:eastAsia="zh-CN"/>
              </w:rPr>
              <w:t>单价最高限价（元）</w:t>
            </w:r>
          </w:p>
        </w:tc>
        <w:tc>
          <w:tcPr>
            <w:tcW w:w="627" w:type="pct"/>
            <w:vAlign w:val="center"/>
          </w:tcPr>
          <w:p w14:paraId="48458231">
            <w:pPr>
              <w:pStyle w:val="4"/>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预计数量</w:t>
            </w:r>
          </w:p>
        </w:tc>
        <w:tc>
          <w:tcPr>
            <w:tcW w:w="690" w:type="pct"/>
            <w:vAlign w:val="center"/>
          </w:tcPr>
          <w:p w14:paraId="3581C007">
            <w:pPr>
              <w:pStyle w:val="4"/>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计量单位</w:t>
            </w:r>
          </w:p>
        </w:tc>
        <w:tc>
          <w:tcPr>
            <w:tcW w:w="1030" w:type="pct"/>
            <w:vAlign w:val="center"/>
          </w:tcPr>
          <w:p w14:paraId="659A58D7">
            <w:pPr>
              <w:pStyle w:val="4"/>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功能和质量要求</w:t>
            </w:r>
          </w:p>
        </w:tc>
      </w:tr>
      <w:tr w14:paraId="1A34F4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50" w:type="pct"/>
            <w:vMerge w:val="restart"/>
            <w:vAlign w:val="center"/>
          </w:tcPr>
          <w:p w14:paraId="03A670A0">
            <w:pPr>
              <w:pStyle w:val="4"/>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1</w:t>
            </w:r>
          </w:p>
        </w:tc>
        <w:tc>
          <w:tcPr>
            <w:tcW w:w="312" w:type="pct"/>
            <w:vAlign w:val="center"/>
          </w:tcPr>
          <w:p w14:paraId="168711DA">
            <w:pPr>
              <w:keepNext w:val="0"/>
              <w:keepLines w:val="0"/>
              <w:widowControl/>
              <w:suppressLineNumbers w:val="0"/>
              <w:jc w:val="center"/>
              <w:textAlignment w:val="center"/>
              <w:rPr>
                <w:rFonts w:hint="eastAsia" w:ascii="仿宋" w:hAnsi="仿宋" w:eastAsia="仿宋" w:cs="仿宋"/>
                <w:sz w:val="22"/>
                <w:szCs w:val="22"/>
                <w:lang w:val="en-US" w:eastAsia="zh-CN"/>
              </w:rPr>
            </w:pPr>
            <w:r>
              <w:rPr>
                <w:rFonts w:hint="eastAsia" w:ascii="仿宋" w:hAnsi="仿宋" w:eastAsia="仿宋" w:cs="仿宋"/>
                <w:i w:val="0"/>
                <w:iCs w:val="0"/>
                <w:color w:val="000000"/>
                <w:kern w:val="0"/>
                <w:sz w:val="21"/>
                <w:szCs w:val="21"/>
                <w:u w:val="none"/>
                <w:lang w:val="en-US" w:eastAsia="zh-CN" w:bidi="ar"/>
              </w:rPr>
              <w:t>1</w:t>
            </w:r>
          </w:p>
        </w:tc>
        <w:tc>
          <w:tcPr>
            <w:tcW w:w="463" w:type="pct"/>
            <w:vMerge w:val="restart"/>
            <w:vAlign w:val="center"/>
          </w:tcPr>
          <w:p w14:paraId="38A83670">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b w:val="0"/>
                <w:bCs w:val="0"/>
                <w:color w:val="auto"/>
                <w:sz w:val="20"/>
                <w:szCs w:val="20"/>
                <w:highlight w:val="none"/>
                <w:shd w:val="clear" w:color="auto" w:fill="auto"/>
                <w:lang w:val="en-US" w:eastAsia="zh-CN"/>
              </w:rPr>
              <w:t>放射</w:t>
            </w:r>
          </w:p>
        </w:tc>
        <w:tc>
          <w:tcPr>
            <w:tcW w:w="821" w:type="pct"/>
            <w:vAlign w:val="center"/>
          </w:tcPr>
          <w:p w14:paraId="441F2EE3">
            <w:pPr>
              <w:keepNext w:val="0"/>
              <w:keepLines w:val="0"/>
              <w:widowControl/>
              <w:suppressLineNumbers w:val="0"/>
              <w:tabs>
                <w:tab w:val="center" w:pos="365"/>
                <w:tab w:val="left" w:pos="526"/>
              </w:tabs>
              <w:jc w:val="center"/>
              <w:textAlignment w:val="center"/>
              <w:rPr>
                <w:rFonts w:hint="default"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上岗前</w:t>
            </w:r>
          </w:p>
        </w:tc>
        <w:tc>
          <w:tcPr>
            <w:tcW w:w="803" w:type="pct"/>
            <w:vAlign w:val="center"/>
          </w:tcPr>
          <w:p w14:paraId="34A16E52">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600</w:t>
            </w:r>
          </w:p>
        </w:tc>
        <w:tc>
          <w:tcPr>
            <w:tcW w:w="627" w:type="pct"/>
            <w:vAlign w:val="center"/>
          </w:tcPr>
          <w:p w14:paraId="7549F9B1">
            <w:pPr>
              <w:keepNext w:val="0"/>
              <w:keepLines w:val="0"/>
              <w:widowControl/>
              <w:suppressLineNumbers w:val="0"/>
              <w:tabs>
                <w:tab w:val="center" w:pos="365"/>
                <w:tab w:val="left" w:pos="526"/>
              </w:tabs>
              <w:jc w:val="center"/>
              <w:textAlignment w:val="center"/>
              <w:rPr>
                <w:rFonts w:hint="default"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70</w:t>
            </w:r>
          </w:p>
        </w:tc>
        <w:tc>
          <w:tcPr>
            <w:tcW w:w="690" w:type="pct"/>
            <w:vAlign w:val="center"/>
          </w:tcPr>
          <w:p w14:paraId="64C3433B">
            <w:pPr>
              <w:keepNext w:val="0"/>
              <w:keepLines w:val="0"/>
              <w:widowControl/>
              <w:suppressLineNumbers w:val="0"/>
              <w:tabs>
                <w:tab w:val="center" w:pos="365"/>
                <w:tab w:val="left" w:pos="526"/>
              </w:tabs>
              <w:jc w:val="center"/>
              <w:textAlignment w:val="center"/>
              <w:rPr>
                <w:rFonts w:hint="default"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人/次</w:t>
            </w:r>
          </w:p>
        </w:tc>
        <w:tc>
          <w:tcPr>
            <w:tcW w:w="1030" w:type="pct"/>
            <w:vAlign w:val="center"/>
          </w:tcPr>
          <w:p w14:paraId="3610FBF1">
            <w:pPr>
              <w:keepNext w:val="0"/>
              <w:keepLines w:val="0"/>
              <w:widowControl/>
              <w:suppressLineNumbers w:val="0"/>
              <w:tabs>
                <w:tab w:val="center" w:pos="365"/>
                <w:tab w:val="left" w:pos="526"/>
              </w:tabs>
              <w:jc w:val="center"/>
              <w:textAlignment w:val="center"/>
              <w:rPr>
                <w:rFonts w:hint="default"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w:t>
            </w:r>
          </w:p>
        </w:tc>
      </w:tr>
      <w:tr w14:paraId="3C1322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50" w:type="pct"/>
            <w:vMerge w:val="continue"/>
            <w:vAlign w:val="center"/>
          </w:tcPr>
          <w:p w14:paraId="6E6FA290">
            <w:pPr>
              <w:pStyle w:val="4"/>
              <w:jc w:val="center"/>
              <w:rPr>
                <w:rFonts w:hint="eastAsia" w:ascii="仿宋" w:hAnsi="仿宋" w:eastAsia="仿宋" w:cs="仿宋"/>
                <w:sz w:val="22"/>
                <w:szCs w:val="22"/>
                <w:lang w:val="en-US" w:eastAsia="zh-CN"/>
              </w:rPr>
            </w:pPr>
          </w:p>
        </w:tc>
        <w:tc>
          <w:tcPr>
            <w:tcW w:w="312" w:type="pct"/>
            <w:vAlign w:val="center"/>
          </w:tcPr>
          <w:p w14:paraId="24563DCF">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w:t>
            </w:r>
          </w:p>
        </w:tc>
        <w:tc>
          <w:tcPr>
            <w:tcW w:w="463" w:type="pct"/>
            <w:vMerge w:val="continue"/>
            <w:vAlign w:val="center"/>
          </w:tcPr>
          <w:p w14:paraId="4FF0A8D1">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0"/>
                <w:szCs w:val="20"/>
                <w:highlight w:val="none"/>
                <w:shd w:val="clear" w:color="auto" w:fill="auto"/>
                <w:lang w:val="en-US" w:eastAsia="zh-CN"/>
              </w:rPr>
            </w:pPr>
          </w:p>
        </w:tc>
        <w:tc>
          <w:tcPr>
            <w:tcW w:w="821" w:type="pct"/>
            <w:vAlign w:val="center"/>
          </w:tcPr>
          <w:p w14:paraId="227C4A89">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在岗期间</w:t>
            </w:r>
          </w:p>
        </w:tc>
        <w:tc>
          <w:tcPr>
            <w:tcW w:w="803" w:type="pct"/>
            <w:vAlign w:val="center"/>
          </w:tcPr>
          <w:p w14:paraId="69013B3B">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520</w:t>
            </w:r>
          </w:p>
        </w:tc>
        <w:tc>
          <w:tcPr>
            <w:tcW w:w="627" w:type="pct"/>
            <w:vAlign w:val="center"/>
          </w:tcPr>
          <w:p w14:paraId="05F6CBBA">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340</w:t>
            </w:r>
          </w:p>
        </w:tc>
        <w:tc>
          <w:tcPr>
            <w:tcW w:w="690" w:type="pct"/>
            <w:vAlign w:val="center"/>
          </w:tcPr>
          <w:p w14:paraId="17A3CBF2">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人/次</w:t>
            </w:r>
          </w:p>
        </w:tc>
        <w:tc>
          <w:tcPr>
            <w:tcW w:w="1030" w:type="pct"/>
            <w:vAlign w:val="center"/>
          </w:tcPr>
          <w:p w14:paraId="338FE62D">
            <w:pPr>
              <w:keepNext w:val="0"/>
              <w:keepLines w:val="0"/>
              <w:widowControl/>
              <w:suppressLineNumbers w:val="0"/>
              <w:tabs>
                <w:tab w:val="center" w:pos="365"/>
                <w:tab w:val="left" w:pos="526"/>
              </w:tabs>
              <w:jc w:val="center"/>
              <w:textAlignment w:val="center"/>
              <w:rPr>
                <w:rFonts w:hint="default"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w:t>
            </w:r>
          </w:p>
        </w:tc>
      </w:tr>
      <w:tr w14:paraId="689D33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50" w:type="pct"/>
            <w:vMerge w:val="continue"/>
            <w:vAlign w:val="center"/>
          </w:tcPr>
          <w:p w14:paraId="2EF55EFA">
            <w:pPr>
              <w:pStyle w:val="4"/>
              <w:jc w:val="center"/>
              <w:rPr>
                <w:rFonts w:hint="eastAsia" w:ascii="仿宋" w:hAnsi="仿宋" w:eastAsia="仿宋" w:cs="仿宋"/>
                <w:sz w:val="22"/>
                <w:szCs w:val="22"/>
                <w:lang w:val="en-US" w:eastAsia="zh-CN"/>
              </w:rPr>
            </w:pPr>
          </w:p>
        </w:tc>
        <w:tc>
          <w:tcPr>
            <w:tcW w:w="312" w:type="pct"/>
            <w:vAlign w:val="center"/>
          </w:tcPr>
          <w:p w14:paraId="2C63002D">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w:t>
            </w:r>
          </w:p>
        </w:tc>
        <w:tc>
          <w:tcPr>
            <w:tcW w:w="463" w:type="pct"/>
            <w:vMerge w:val="continue"/>
            <w:vAlign w:val="center"/>
          </w:tcPr>
          <w:p w14:paraId="26716BED">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0"/>
                <w:szCs w:val="20"/>
                <w:highlight w:val="none"/>
                <w:shd w:val="clear" w:color="auto" w:fill="auto"/>
                <w:lang w:val="en-US" w:eastAsia="zh-CN"/>
              </w:rPr>
            </w:pPr>
          </w:p>
        </w:tc>
        <w:tc>
          <w:tcPr>
            <w:tcW w:w="821" w:type="pct"/>
            <w:vAlign w:val="center"/>
          </w:tcPr>
          <w:p w14:paraId="2583B7EA">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离岗时</w:t>
            </w:r>
          </w:p>
        </w:tc>
        <w:tc>
          <w:tcPr>
            <w:tcW w:w="803" w:type="pct"/>
            <w:vAlign w:val="center"/>
          </w:tcPr>
          <w:p w14:paraId="1D86328C">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600</w:t>
            </w:r>
          </w:p>
        </w:tc>
        <w:tc>
          <w:tcPr>
            <w:tcW w:w="627" w:type="pct"/>
            <w:vAlign w:val="center"/>
          </w:tcPr>
          <w:p w14:paraId="275C0045">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20</w:t>
            </w:r>
          </w:p>
        </w:tc>
        <w:tc>
          <w:tcPr>
            <w:tcW w:w="690" w:type="pct"/>
            <w:vAlign w:val="center"/>
          </w:tcPr>
          <w:p w14:paraId="38B1385C">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人/次</w:t>
            </w:r>
          </w:p>
        </w:tc>
        <w:tc>
          <w:tcPr>
            <w:tcW w:w="1030" w:type="pct"/>
            <w:vAlign w:val="center"/>
          </w:tcPr>
          <w:p w14:paraId="6C971C66">
            <w:pPr>
              <w:keepNext w:val="0"/>
              <w:keepLines w:val="0"/>
              <w:widowControl/>
              <w:suppressLineNumbers w:val="0"/>
              <w:tabs>
                <w:tab w:val="center" w:pos="365"/>
                <w:tab w:val="left" w:pos="526"/>
              </w:tabs>
              <w:jc w:val="center"/>
              <w:textAlignment w:val="center"/>
              <w:rPr>
                <w:rFonts w:hint="default"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w:t>
            </w:r>
          </w:p>
        </w:tc>
      </w:tr>
      <w:tr w14:paraId="04B42C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50" w:type="pct"/>
            <w:vMerge w:val="continue"/>
            <w:vAlign w:val="center"/>
          </w:tcPr>
          <w:p w14:paraId="798266A0">
            <w:pPr>
              <w:pStyle w:val="4"/>
              <w:jc w:val="center"/>
              <w:rPr>
                <w:rFonts w:hint="eastAsia" w:ascii="仿宋" w:hAnsi="仿宋" w:eastAsia="仿宋" w:cs="仿宋"/>
                <w:sz w:val="22"/>
                <w:szCs w:val="22"/>
                <w:lang w:val="en-US" w:eastAsia="zh-CN"/>
              </w:rPr>
            </w:pPr>
          </w:p>
        </w:tc>
        <w:tc>
          <w:tcPr>
            <w:tcW w:w="312" w:type="pct"/>
            <w:vAlign w:val="center"/>
          </w:tcPr>
          <w:p w14:paraId="7AC5AC85">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w:t>
            </w:r>
          </w:p>
        </w:tc>
        <w:tc>
          <w:tcPr>
            <w:tcW w:w="463" w:type="pct"/>
            <w:vMerge w:val="continue"/>
            <w:vAlign w:val="center"/>
          </w:tcPr>
          <w:p w14:paraId="02894D55">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0"/>
                <w:szCs w:val="20"/>
                <w:highlight w:val="none"/>
                <w:shd w:val="clear" w:color="auto" w:fill="auto"/>
                <w:lang w:val="en-US" w:eastAsia="zh-CN"/>
              </w:rPr>
            </w:pPr>
          </w:p>
        </w:tc>
        <w:tc>
          <w:tcPr>
            <w:tcW w:w="821" w:type="pct"/>
            <w:vAlign w:val="center"/>
          </w:tcPr>
          <w:p w14:paraId="0B23402F">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应急/事故</w:t>
            </w:r>
          </w:p>
        </w:tc>
        <w:tc>
          <w:tcPr>
            <w:tcW w:w="803" w:type="pct"/>
            <w:vAlign w:val="center"/>
          </w:tcPr>
          <w:p w14:paraId="78134EAF">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520</w:t>
            </w:r>
          </w:p>
        </w:tc>
        <w:tc>
          <w:tcPr>
            <w:tcW w:w="627" w:type="pct"/>
            <w:vAlign w:val="center"/>
          </w:tcPr>
          <w:p w14:paraId="3C9902E0">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10</w:t>
            </w:r>
          </w:p>
        </w:tc>
        <w:tc>
          <w:tcPr>
            <w:tcW w:w="690" w:type="pct"/>
            <w:vAlign w:val="center"/>
          </w:tcPr>
          <w:p w14:paraId="368AC1F3">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人/次</w:t>
            </w:r>
          </w:p>
        </w:tc>
        <w:tc>
          <w:tcPr>
            <w:tcW w:w="1030" w:type="pct"/>
            <w:vAlign w:val="center"/>
          </w:tcPr>
          <w:p w14:paraId="5FE97C02">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采购方提出检测需求后，供应商需在24小时内完成检测</w:t>
            </w:r>
          </w:p>
        </w:tc>
      </w:tr>
      <w:tr w14:paraId="43D1DE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50" w:type="pct"/>
            <w:vMerge w:val="continue"/>
            <w:vAlign w:val="center"/>
          </w:tcPr>
          <w:p w14:paraId="228AFD18">
            <w:pPr>
              <w:pStyle w:val="4"/>
              <w:jc w:val="center"/>
              <w:rPr>
                <w:rFonts w:hint="eastAsia" w:ascii="仿宋" w:hAnsi="仿宋" w:eastAsia="仿宋" w:cs="仿宋"/>
                <w:sz w:val="22"/>
                <w:szCs w:val="22"/>
                <w:lang w:val="en-US" w:eastAsia="zh-CN"/>
              </w:rPr>
            </w:pPr>
          </w:p>
        </w:tc>
        <w:tc>
          <w:tcPr>
            <w:tcW w:w="312" w:type="pct"/>
            <w:vAlign w:val="center"/>
          </w:tcPr>
          <w:p w14:paraId="43E1699A">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w:t>
            </w:r>
          </w:p>
        </w:tc>
        <w:tc>
          <w:tcPr>
            <w:tcW w:w="463" w:type="pct"/>
            <w:vMerge w:val="restart"/>
            <w:vAlign w:val="center"/>
          </w:tcPr>
          <w:p w14:paraId="421F3556">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b w:val="0"/>
                <w:bCs w:val="0"/>
                <w:color w:val="auto"/>
                <w:sz w:val="20"/>
                <w:szCs w:val="20"/>
                <w:highlight w:val="none"/>
                <w:shd w:val="clear" w:color="auto" w:fill="auto"/>
                <w:lang w:val="en-US" w:eastAsia="zh-CN"/>
              </w:rPr>
              <w:t>病理</w:t>
            </w:r>
          </w:p>
        </w:tc>
        <w:tc>
          <w:tcPr>
            <w:tcW w:w="821" w:type="pct"/>
            <w:vAlign w:val="center"/>
          </w:tcPr>
          <w:p w14:paraId="433D656A">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上岗前</w:t>
            </w:r>
          </w:p>
        </w:tc>
        <w:tc>
          <w:tcPr>
            <w:tcW w:w="803" w:type="pct"/>
            <w:vAlign w:val="center"/>
          </w:tcPr>
          <w:p w14:paraId="44356FFC">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400</w:t>
            </w:r>
          </w:p>
        </w:tc>
        <w:tc>
          <w:tcPr>
            <w:tcW w:w="627" w:type="pct"/>
            <w:vAlign w:val="center"/>
          </w:tcPr>
          <w:p w14:paraId="4C6BAC71">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4</w:t>
            </w:r>
          </w:p>
        </w:tc>
        <w:tc>
          <w:tcPr>
            <w:tcW w:w="690" w:type="pct"/>
            <w:vAlign w:val="center"/>
          </w:tcPr>
          <w:p w14:paraId="0D55FC96">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人/次</w:t>
            </w:r>
          </w:p>
        </w:tc>
        <w:tc>
          <w:tcPr>
            <w:tcW w:w="1030" w:type="pct"/>
            <w:vAlign w:val="center"/>
          </w:tcPr>
          <w:p w14:paraId="0CD28682">
            <w:pPr>
              <w:keepNext w:val="0"/>
              <w:keepLines w:val="0"/>
              <w:widowControl/>
              <w:suppressLineNumbers w:val="0"/>
              <w:tabs>
                <w:tab w:val="center" w:pos="365"/>
                <w:tab w:val="left" w:pos="526"/>
              </w:tabs>
              <w:jc w:val="center"/>
              <w:textAlignment w:val="center"/>
              <w:rPr>
                <w:rFonts w:hint="default"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w:t>
            </w:r>
          </w:p>
        </w:tc>
      </w:tr>
      <w:tr w14:paraId="1F098C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50" w:type="pct"/>
            <w:vMerge w:val="continue"/>
            <w:vAlign w:val="center"/>
          </w:tcPr>
          <w:p w14:paraId="76172585">
            <w:pPr>
              <w:pStyle w:val="4"/>
              <w:jc w:val="center"/>
              <w:rPr>
                <w:rFonts w:hint="eastAsia" w:ascii="仿宋" w:hAnsi="仿宋" w:eastAsia="仿宋" w:cs="仿宋"/>
                <w:sz w:val="22"/>
                <w:szCs w:val="22"/>
                <w:lang w:val="en-US" w:eastAsia="zh-CN"/>
              </w:rPr>
            </w:pPr>
          </w:p>
        </w:tc>
        <w:tc>
          <w:tcPr>
            <w:tcW w:w="312" w:type="pct"/>
            <w:vAlign w:val="center"/>
          </w:tcPr>
          <w:p w14:paraId="1B027330">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w:t>
            </w:r>
          </w:p>
        </w:tc>
        <w:tc>
          <w:tcPr>
            <w:tcW w:w="463" w:type="pct"/>
            <w:vMerge w:val="continue"/>
            <w:vAlign w:val="center"/>
          </w:tcPr>
          <w:p w14:paraId="59555E29">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0"/>
                <w:szCs w:val="20"/>
                <w:highlight w:val="none"/>
                <w:shd w:val="clear" w:color="auto" w:fill="auto"/>
                <w:lang w:val="en-US" w:eastAsia="zh-CN"/>
              </w:rPr>
            </w:pPr>
          </w:p>
        </w:tc>
        <w:tc>
          <w:tcPr>
            <w:tcW w:w="821" w:type="pct"/>
            <w:vAlign w:val="center"/>
          </w:tcPr>
          <w:p w14:paraId="748E3CB3">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在岗期间</w:t>
            </w:r>
          </w:p>
        </w:tc>
        <w:tc>
          <w:tcPr>
            <w:tcW w:w="803" w:type="pct"/>
            <w:vAlign w:val="center"/>
          </w:tcPr>
          <w:p w14:paraId="3DD69F5C">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400</w:t>
            </w:r>
          </w:p>
        </w:tc>
        <w:tc>
          <w:tcPr>
            <w:tcW w:w="627" w:type="pct"/>
            <w:vAlign w:val="center"/>
          </w:tcPr>
          <w:p w14:paraId="60BB0DD1">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24</w:t>
            </w:r>
          </w:p>
        </w:tc>
        <w:tc>
          <w:tcPr>
            <w:tcW w:w="690" w:type="pct"/>
            <w:vAlign w:val="center"/>
          </w:tcPr>
          <w:p w14:paraId="416376C6">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人/次</w:t>
            </w:r>
          </w:p>
        </w:tc>
        <w:tc>
          <w:tcPr>
            <w:tcW w:w="1030" w:type="pct"/>
            <w:vAlign w:val="center"/>
          </w:tcPr>
          <w:p w14:paraId="2A4F6F24">
            <w:pPr>
              <w:keepNext w:val="0"/>
              <w:keepLines w:val="0"/>
              <w:widowControl/>
              <w:suppressLineNumbers w:val="0"/>
              <w:tabs>
                <w:tab w:val="center" w:pos="365"/>
                <w:tab w:val="left" w:pos="526"/>
              </w:tabs>
              <w:jc w:val="center"/>
              <w:textAlignment w:val="center"/>
              <w:rPr>
                <w:rFonts w:hint="default"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w:t>
            </w:r>
          </w:p>
        </w:tc>
      </w:tr>
      <w:tr w14:paraId="28A985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50" w:type="pct"/>
            <w:vMerge w:val="continue"/>
            <w:vAlign w:val="center"/>
          </w:tcPr>
          <w:p w14:paraId="7D285CF6">
            <w:pPr>
              <w:pStyle w:val="4"/>
              <w:jc w:val="center"/>
              <w:rPr>
                <w:rFonts w:hint="eastAsia" w:ascii="仿宋" w:hAnsi="仿宋" w:eastAsia="仿宋" w:cs="仿宋"/>
                <w:sz w:val="22"/>
                <w:szCs w:val="22"/>
                <w:lang w:val="en-US" w:eastAsia="zh-CN"/>
              </w:rPr>
            </w:pPr>
          </w:p>
        </w:tc>
        <w:tc>
          <w:tcPr>
            <w:tcW w:w="312" w:type="pct"/>
            <w:vAlign w:val="center"/>
          </w:tcPr>
          <w:p w14:paraId="55EEFE25">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w:t>
            </w:r>
          </w:p>
        </w:tc>
        <w:tc>
          <w:tcPr>
            <w:tcW w:w="463" w:type="pct"/>
            <w:vMerge w:val="continue"/>
            <w:vAlign w:val="center"/>
          </w:tcPr>
          <w:p w14:paraId="31E8DB4E">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0"/>
                <w:szCs w:val="20"/>
                <w:highlight w:val="none"/>
                <w:shd w:val="clear" w:color="auto" w:fill="auto"/>
                <w:lang w:val="en-US" w:eastAsia="zh-CN"/>
              </w:rPr>
            </w:pPr>
          </w:p>
        </w:tc>
        <w:tc>
          <w:tcPr>
            <w:tcW w:w="821" w:type="pct"/>
            <w:vAlign w:val="center"/>
          </w:tcPr>
          <w:p w14:paraId="3929F0F0">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离岗时</w:t>
            </w:r>
          </w:p>
        </w:tc>
        <w:tc>
          <w:tcPr>
            <w:tcW w:w="803" w:type="pct"/>
            <w:vAlign w:val="center"/>
          </w:tcPr>
          <w:p w14:paraId="3481085F">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400</w:t>
            </w:r>
          </w:p>
        </w:tc>
        <w:tc>
          <w:tcPr>
            <w:tcW w:w="627" w:type="pct"/>
            <w:vAlign w:val="center"/>
          </w:tcPr>
          <w:p w14:paraId="20FAA337">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4</w:t>
            </w:r>
          </w:p>
        </w:tc>
        <w:tc>
          <w:tcPr>
            <w:tcW w:w="690" w:type="pct"/>
            <w:vAlign w:val="center"/>
          </w:tcPr>
          <w:p w14:paraId="0FADF30F">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人/次</w:t>
            </w:r>
          </w:p>
        </w:tc>
        <w:tc>
          <w:tcPr>
            <w:tcW w:w="1030" w:type="pct"/>
            <w:vAlign w:val="center"/>
          </w:tcPr>
          <w:p w14:paraId="68C2EEBC">
            <w:pPr>
              <w:keepNext w:val="0"/>
              <w:keepLines w:val="0"/>
              <w:widowControl/>
              <w:suppressLineNumbers w:val="0"/>
              <w:tabs>
                <w:tab w:val="center" w:pos="365"/>
                <w:tab w:val="left" w:pos="526"/>
              </w:tabs>
              <w:jc w:val="center"/>
              <w:textAlignment w:val="center"/>
              <w:rPr>
                <w:rFonts w:hint="default"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w:t>
            </w:r>
          </w:p>
        </w:tc>
      </w:tr>
      <w:tr w14:paraId="1E2FF9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50" w:type="pct"/>
            <w:vMerge w:val="continue"/>
            <w:vAlign w:val="center"/>
          </w:tcPr>
          <w:p w14:paraId="25F4D9C7">
            <w:pPr>
              <w:pStyle w:val="4"/>
              <w:jc w:val="center"/>
              <w:rPr>
                <w:rFonts w:hint="eastAsia" w:ascii="仿宋" w:hAnsi="仿宋" w:eastAsia="仿宋" w:cs="仿宋"/>
                <w:sz w:val="22"/>
                <w:szCs w:val="22"/>
                <w:lang w:val="en-US" w:eastAsia="zh-CN"/>
              </w:rPr>
            </w:pPr>
          </w:p>
        </w:tc>
        <w:tc>
          <w:tcPr>
            <w:tcW w:w="312" w:type="pct"/>
            <w:vAlign w:val="center"/>
          </w:tcPr>
          <w:p w14:paraId="080DA304">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8</w:t>
            </w:r>
          </w:p>
        </w:tc>
        <w:tc>
          <w:tcPr>
            <w:tcW w:w="463" w:type="pct"/>
            <w:vMerge w:val="continue"/>
            <w:vAlign w:val="center"/>
          </w:tcPr>
          <w:p w14:paraId="24980884">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0"/>
                <w:szCs w:val="20"/>
                <w:highlight w:val="none"/>
                <w:shd w:val="clear" w:color="auto" w:fill="auto"/>
                <w:lang w:val="en-US" w:eastAsia="zh-CN"/>
              </w:rPr>
            </w:pPr>
          </w:p>
        </w:tc>
        <w:tc>
          <w:tcPr>
            <w:tcW w:w="821" w:type="pct"/>
            <w:vAlign w:val="center"/>
          </w:tcPr>
          <w:p w14:paraId="7ABD0674">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应急/事故</w:t>
            </w:r>
          </w:p>
        </w:tc>
        <w:tc>
          <w:tcPr>
            <w:tcW w:w="803" w:type="pct"/>
            <w:vAlign w:val="center"/>
          </w:tcPr>
          <w:p w14:paraId="7F05B48C">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400</w:t>
            </w:r>
          </w:p>
        </w:tc>
        <w:tc>
          <w:tcPr>
            <w:tcW w:w="627" w:type="pct"/>
            <w:vAlign w:val="center"/>
          </w:tcPr>
          <w:p w14:paraId="6B205E48">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4</w:t>
            </w:r>
          </w:p>
        </w:tc>
        <w:tc>
          <w:tcPr>
            <w:tcW w:w="690" w:type="pct"/>
            <w:vAlign w:val="center"/>
          </w:tcPr>
          <w:p w14:paraId="625FA96A">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人/次</w:t>
            </w:r>
          </w:p>
        </w:tc>
        <w:tc>
          <w:tcPr>
            <w:tcW w:w="1030" w:type="pct"/>
            <w:vAlign w:val="center"/>
          </w:tcPr>
          <w:p w14:paraId="6238D08C">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采购方提出检测需求后，供应商需在24小时内完成检测</w:t>
            </w:r>
          </w:p>
        </w:tc>
      </w:tr>
    </w:tbl>
    <w:p w14:paraId="60CC179F">
      <w:pPr>
        <w:pStyle w:val="4"/>
        <w:jc w:val="left"/>
        <w:rPr>
          <w:rFonts w:hint="default" w:ascii="仿宋" w:hAnsi="仿宋" w:eastAsia="仿宋" w:cs="仿宋"/>
          <w:lang w:val="en-US" w:eastAsia="zh-CN"/>
        </w:rPr>
      </w:pPr>
    </w:p>
    <w:p w14:paraId="180CCACA">
      <w:pPr>
        <w:pStyle w:val="4"/>
        <w:jc w:val="left"/>
        <w:outlineLvl w:val="1"/>
        <w:rPr>
          <w:rFonts w:hint="eastAsia" w:ascii="仿宋" w:hAnsi="仿宋" w:eastAsia="仿宋" w:cs="仿宋"/>
          <w:lang w:eastAsia="zh-CN"/>
        </w:rPr>
      </w:pPr>
      <w:r>
        <w:rPr>
          <w:rFonts w:hint="eastAsia" w:ascii="仿宋" w:hAnsi="仿宋" w:eastAsia="仿宋" w:cs="仿宋"/>
          <w:b/>
          <w:sz w:val="28"/>
          <w:lang w:val="en-US" w:eastAsia="zh-CN"/>
        </w:rPr>
        <w:t>★</w:t>
      </w:r>
      <w:r>
        <w:rPr>
          <w:rFonts w:hint="eastAsia" w:ascii="仿宋" w:hAnsi="仿宋" w:eastAsia="仿宋" w:cs="仿宋"/>
          <w:b/>
          <w:sz w:val="28"/>
        </w:rPr>
        <w:t>3.2.</w:t>
      </w:r>
      <w:r>
        <w:rPr>
          <w:rFonts w:hint="eastAsia" w:ascii="仿宋" w:hAnsi="仿宋" w:eastAsia="仿宋" w:cs="仿宋"/>
          <w:b/>
          <w:sz w:val="28"/>
          <w:lang w:val="en-US" w:eastAsia="zh-CN"/>
        </w:rPr>
        <w:t>技术</w:t>
      </w:r>
      <w:r>
        <w:rPr>
          <w:rFonts w:hint="eastAsia" w:ascii="仿宋" w:hAnsi="仿宋" w:eastAsia="仿宋" w:cs="仿宋"/>
          <w:b/>
          <w:sz w:val="28"/>
        </w:rPr>
        <w:t>要求</w:t>
      </w:r>
    </w:p>
    <w:p w14:paraId="2F7DC7DD">
      <w:pPr>
        <w:pStyle w:val="4"/>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供应商根据需求提供放射工作人员和病理科工作人员的上岗前、在岗期间、离岗时和应急检查服务。严格遵守《中华人民共和国职业病防治法》《职业健康检查管理办法》《职业健康监护技术规范》《放射工作人员健康要求及监护规范》等相关规范要求开展职业健康检查工作。</w:t>
      </w:r>
    </w:p>
    <w:p w14:paraId="78CA778E">
      <w:pPr>
        <w:pStyle w:val="4"/>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2.供应商严格按照医疗检测常规保质保量开展检查相关工作，并出具纸质版和电子版的检查报告和检查总结报告，检查的所有项目须独立完成，不得转包和分包。</w:t>
      </w:r>
    </w:p>
    <w:p w14:paraId="0923671C">
      <w:pPr>
        <w:pStyle w:val="4"/>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3.供应商应对采购方员工的健康信息及相关个人隐私进行保密。</w:t>
      </w:r>
    </w:p>
    <w:p w14:paraId="5425DEBF">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1"/>
        <w:rPr>
          <w:rFonts w:hint="eastAsia" w:ascii="仿宋" w:hAnsi="仿宋" w:eastAsia="仿宋" w:cs="仿宋"/>
          <w:b/>
          <w:bCs/>
          <w:color w:val="000000"/>
          <w:sz w:val="28"/>
          <w:szCs w:val="28"/>
          <w:lang w:val="en-US" w:eastAsia="zh-CN"/>
        </w:rPr>
      </w:pPr>
      <w:r>
        <w:rPr>
          <w:rFonts w:hint="eastAsia" w:ascii="Times New Roman" w:hAnsi="Times New Roman" w:eastAsia="仿宋" w:cs="Times New Roman"/>
          <w:b/>
          <w:bCs/>
          <w:color w:val="auto"/>
          <w:sz w:val="22"/>
          <w:szCs w:val="22"/>
          <w:highlight w:val="none"/>
          <w:shd w:val="clear" w:color="auto" w:fill="auto"/>
          <w:lang w:val="en-US" w:eastAsia="zh-CN"/>
        </w:rPr>
        <w:t>★</w:t>
      </w:r>
      <w:r>
        <w:rPr>
          <w:rFonts w:hint="eastAsia" w:ascii="仿宋" w:hAnsi="仿宋" w:eastAsia="仿宋" w:cs="仿宋"/>
          <w:b/>
          <w:sz w:val="28"/>
        </w:rPr>
        <w:t>3.3.</w:t>
      </w:r>
      <w:r>
        <w:rPr>
          <w:rFonts w:hint="eastAsia" w:ascii="仿宋" w:hAnsi="仿宋" w:eastAsia="仿宋" w:cs="仿宋"/>
          <w:b/>
          <w:sz w:val="28"/>
          <w:lang w:val="en-US" w:eastAsia="zh-CN"/>
        </w:rPr>
        <w:t>商务要求</w:t>
      </w:r>
    </w:p>
    <w:p w14:paraId="5DE218BD">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一、合同履行期限：2026年8月28日起至2028年8月28日止（如在合同履行期间内江市第一人民医院具备了放射工作人员职业健康检查资质则自动终止合同。）</w:t>
      </w:r>
    </w:p>
    <w:p w14:paraId="0C5E42D9">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二、合同履约地点：内江市第一人民医院指定地点</w:t>
      </w:r>
    </w:p>
    <w:p w14:paraId="0BB11881">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三、合同支付约定：保质保量完成职业健康检查工作后，一年结算一次，由供应商开具合法票据，在收到票据后30个工作日内进行付款。</w:t>
      </w:r>
    </w:p>
    <w:p w14:paraId="6CB0CB76">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四、验收交付标准和方法：取得所有检查人员的纸质版和电子版的检查报告和检查总结报告。</w:t>
      </w:r>
    </w:p>
    <w:p w14:paraId="57A7DE33">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highlight w:val="yellow"/>
          <w:u w:val="none"/>
          <w:lang w:val="en-US" w:eastAsia="zh-CN" w:bidi="ar"/>
        </w:rPr>
        <w:t>五、报价要求：本项目采用统一下浮率进行报价，供应商根据标的情况中的各项最高单价限价报出统一下浮率。结算金额=最高单价限价*（1-下浮率%）*实际数量。</w:t>
      </w:r>
    </w:p>
    <w:p w14:paraId="27C2CE88">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六、服务要求：</w:t>
      </w:r>
    </w:p>
    <w:p w14:paraId="2990D748">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1.供应商必须严格按照采购公告及响应文件中的要求提供职业健康检查服务和体检早餐服务。提供的职业健康检查服务必须符合《职业健康检查管理办法》《职业健康检查技术规范》（GBZ 188）等法律法规和标准规范的要求</w:t>
      </w:r>
    </w:p>
    <w:p w14:paraId="0B00A6C8">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供应商必须严格按照最新的行业标准与相关的法律法规编写报告，如未按要求的行业标准与相关的法律法规编写报告，采购方有权单方面终止合同，并且供应商全额退还采购方支付的检查服务费，采购方有权追究供应商的法律责任。</w:t>
      </w:r>
    </w:p>
    <w:p w14:paraId="0261DF94">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3.供应商实施检查时发现职业禁忌、疑似职业病病人时，应当及时告知受检者和采购方，为检查结果异常人员提供免费复查服务，并开展职业病防治知识宣教，并提供相关指导。</w:t>
      </w:r>
    </w:p>
    <w:p w14:paraId="51C3C4A4">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4.采购方有应急场景下的职业健康检查要求，供应商须按照采购方要求在规定的时间节点内完成检查并交付报告。</w:t>
      </w:r>
    </w:p>
    <w:p w14:paraId="44F3A32D">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供应商应能提供院内现场检查服务，或其检查地址应方便我院工作人员前往，并提供体检早餐服务，如检查地址不在内江市城区，供应商应负责有关检查人员自行前往检查的差旅费（按采购方相关差旅补助制度执行）。</w:t>
      </w:r>
    </w:p>
    <w:p w14:paraId="6C5420B5">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6.投入本项目的相关工作人员须具备相应的技术资格证书，且具备三年及以上工作经验。</w:t>
      </w:r>
    </w:p>
    <w:p w14:paraId="3287AFF1">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七、违约责任：</w:t>
      </w:r>
    </w:p>
    <w:p w14:paraId="25F972FA">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（1）供应商如未按要求的行业标准与相关的法律法规编写报告或者出具虚假报告等，采购方有权单方面终止合同，并且供应商应全额退还采购方支付的检查服务费，采购方有权追究供应商的法律责任；</w:t>
      </w:r>
    </w:p>
    <w:p w14:paraId="07B56308">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（2）单个项目未在规定时限内完成，应向采购人支付该单个项目总费用20%的违约金；应急/事故检测未在规定时限内完成，应向采购人支付采购预算10%的违约金。</w:t>
      </w:r>
    </w:p>
    <w:p w14:paraId="659E9A79">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（3）供应商拒不提供服务或不履行其主要合同义务或明示不履行合同义务的，构成根本性违约，应当向采购人支付采购预算30%的违约金，同时采购人有权单方面解除本合同。</w:t>
      </w:r>
    </w:p>
    <w:p w14:paraId="49B5AA52">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（4）供应商擅自变更、中止、终止、解除合同的，应按采购预算金额30%向采购人支付违约金，同时采购人有权单方解除合同。</w:t>
      </w:r>
    </w:p>
    <w:p w14:paraId="0F805B54">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（5）供应商因上述违约行为支付的违约金不足以弥补采购人损失的，还应按采购人实际经济损失足额补足。</w:t>
      </w:r>
    </w:p>
    <w:p w14:paraId="562E86AE">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供应商保证其提供的货物及服务未侵犯第三人之著作权、商标权、专利权等知识产权及肖像权、名誉权、个人信息等其他合法权益，不会侵犯任何第三人的商业秘密或对任何第三人构成不正当竞争，如因此与第三人发生争议、诉讼或仲裁案件，由供应商承担全部责任，并负责赔偿采购人由此而遭受的全部损失。</w:t>
      </w:r>
    </w:p>
    <w:p w14:paraId="40BB892C">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7）采购合同生效后，双方均应全面履行本合同约定的义务。任何一方不履行或不完全履行本合同约定义务的，应当承担相应的违约责任，并赔偿由此给守约方造成的损失，包括但不限于守约方为实现债权而支付的律师费、保全费、诉讼费、公证费、鉴定费等。</w:t>
      </w:r>
    </w:p>
    <w:p w14:paraId="7214FF2F">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八、争议解决条款：</w:t>
      </w:r>
    </w:p>
    <w:p w14:paraId="67657FDE">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（1）采购合同履行期间，若双方发生争议，可协商或由有关部门调解解决，协商或调解不成的，双方均同意向采购人所在地有管辖权的人民法院提起诉讼。</w:t>
      </w:r>
    </w:p>
    <w:p w14:paraId="61E2AA6D">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（2）在诉讼期间，除正在进行诉讼部分外，合同其他部分继续执行。</w:t>
      </w:r>
    </w:p>
    <w:p w14:paraId="1E0A35EF">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九、缔约过失责任：</w:t>
      </w:r>
    </w:p>
    <w:p w14:paraId="310A4FC7">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（1）供应商无正当理由未能在规定时间内与采购人签订合同的，需向采购人支付中标（成交）金额20%的赔偿金。赔偿金不足以弥补采购人全部损失的，还应赔偿采购人全部损失；</w:t>
      </w:r>
    </w:p>
    <w:p w14:paraId="30B70560">
      <w:pPr>
        <w:ind w:firstLine="440" w:firstLineChars="200"/>
      </w:pPr>
      <w:r>
        <w:rPr>
          <w:rFonts w:hint="eastAsia" w:ascii="仿宋" w:hAnsi="仿宋" w:eastAsia="仿宋" w:cs="仿宋"/>
          <w:color w:val="000000"/>
          <w:kern w:val="0"/>
          <w:sz w:val="22"/>
          <w:szCs w:val="22"/>
          <w:u w:val="none"/>
          <w:lang w:val="en-US" w:eastAsia="zh-CN" w:bidi="ar"/>
        </w:rPr>
        <w:t>（2）若投标供应商提交的投标（响应）文件存在虚假材料或虚假响应的情况，投标供应商应向采购人支付项目预算总金额30%的赔偿金。</w:t>
      </w:r>
      <w:r>
        <w:rPr>
          <w:rFonts w:hint="eastAsia" w:ascii="仿宋" w:hAnsi="仿宋" w:eastAsia="仿宋" w:cs="仿宋"/>
          <w:color w:val="000000"/>
          <w:kern w:val="0"/>
          <w:sz w:val="22"/>
          <w:szCs w:val="22"/>
          <w:u w:val="none"/>
          <w:lang w:val="en-US" w:eastAsia="zh-CN" w:bidi="ar"/>
        </w:rPr>
        <w:br w:type="textWrapping"/>
      </w: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A4427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2026-07-30T08:50:02Z</dcterms:created>
  <dc:creator>Administrator</dc:creator>
  <cp:lastModifiedBy>lz</cp:lastModifiedBy>
  <dcterms:modified xsi:type="dcterms:W3CDTF">2026-07-30T08:50:19Z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eyJoZGlkIjoiNGNhMWE3NTkxNzZmNGI1MDVkZjYwMjhiNGQ2YjQxMDkiLCJ1c2VySWQiOiI0ODI5Njk1NDgifQ==</vt:lpwstr>
  </property>
  <property fmtid="{D5CDD505-2E9C-101B-9397-08002B2CF9AE}" pid="4" name="ICV">
    <vt:lpwstr>313867DCBF154F4EA9D6FF6D8CA0F58B_12</vt:lpwstr>
  </property>
</Properties>
</file>