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18D97">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02B35793">
      <w:pPr>
        <w:pStyle w:val="6"/>
        <w:spacing w:line="360" w:lineRule="auto"/>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07F77AB5">
      <w:pPr>
        <w:pStyle w:val="6"/>
        <w:spacing w:line="360" w:lineRule="auto"/>
        <w:jc w:val="left"/>
        <w:outlineLvl w:val="1"/>
        <w:rPr>
          <w:rFonts w:hint="eastAsia" w:ascii="仿宋" w:hAnsi="仿宋" w:eastAsia="仿宋" w:cs="仿宋"/>
          <w:sz w:val="24"/>
          <w:szCs w:val="24"/>
          <w:highlight w:val="none"/>
          <w:lang w:eastAsia="zh-CN"/>
        </w:rPr>
      </w:pPr>
      <w:r>
        <w:rPr>
          <w:rFonts w:hint="eastAsia" w:ascii="仿宋" w:hAnsi="仿宋" w:eastAsia="仿宋" w:cs="仿宋"/>
          <w:b/>
          <w:sz w:val="24"/>
          <w:szCs w:val="24"/>
          <w:highlight w:val="none"/>
          <w:lang w:eastAsia="zh-CN"/>
        </w:rPr>
        <w:t>一、</w:t>
      </w:r>
      <w:r>
        <w:rPr>
          <w:rFonts w:hint="eastAsia" w:ascii="仿宋" w:hAnsi="仿宋" w:eastAsia="仿宋" w:cs="仿宋"/>
          <w:b/>
          <w:sz w:val="24"/>
          <w:szCs w:val="24"/>
          <w:highlight w:val="none"/>
          <w:lang w:val="en-US" w:eastAsia="zh-CN"/>
        </w:rPr>
        <w:t>标的情况</w:t>
      </w:r>
    </w:p>
    <w:p w14:paraId="13C658E9">
      <w:pPr>
        <w:pStyle w:val="6"/>
        <w:spacing w:line="360" w:lineRule="auto"/>
        <w:jc w:val="left"/>
        <w:outlineLvl w:val="2"/>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055"/>
        <w:gridCol w:w="1077"/>
        <w:gridCol w:w="1462"/>
        <w:gridCol w:w="1330"/>
        <w:gridCol w:w="1064"/>
        <w:gridCol w:w="1072"/>
        <w:gridCol w:w="1483"/>
      </w:tblGrid>
      <w:tr w14:paraId="16797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trPr>
        <w:tc>
          <w:tcPr>
            <w:tcW w:w="61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5F1CD98">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包号</w:t>
            </w:r>
          </w:p>
        </w:tc>
        <w:tc>
          <w:tcPr>
            <w:tcW w:w="63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3A1722F">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编号</w:t>
            </w:r>
          </w:p>
        </w:tc>
        <w:tc>
          <w:tcPr>
            <w:tcW w:w="85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BF6BC28">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标的名称</w:t>
            </w:r>
          </w:p>
        </w:tc>
        <w:tc>
          <w:tcPr>
            <w:tcW w:w="77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8C600F4">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★最高单价限价（元）</w:t>
            </w:r>
          </w:p>
        </w:tc>
        <w:tc>
          <w:tcPr>
            <w:tcW w:w="62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259502D">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年使用数量</w:t>
            </w:r>
          </w:p>
        </w:tc>
        <w:tc>
          <w:tcPr>
            <w:tcW w:w="62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450A7A6">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计量单位</w:t>
            </w:r>
          </w:p>
        </w:tc>
        <w:tc>
          <w:tcPr>
            <w:tcW w:w="86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DC334F8">
            <w:pPr>
              <w:spacing w:line="400" w:lineRule="exact"/>
              <w:jc w:val="left"/>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★项目年最高限价（元）</w:t>
            </w:r>
          </w:p>
        </w:tc>
      </w:tr>
      <w:tr w14:paraId="0C884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125169">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F5503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1</w:t>
            </w:r>
          </w:p>
        </w:tc>
        <w:tc>
          <w:tcPr>
            <w:tcW w:w="14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02415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透析型人工肾一次性使用血液回路导管</w:t>
            </w:r>
          </w:p>
        </w:tc>
        <w:tc>
          <w:tcPr>
            <w:tcW w:w="133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03F39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429.33</w:t>
            </w:r>
          </w:p>
        </w:tc>
        <w:tc>
          <w:tcPr>
            <w:tcW w:w="106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EDA5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w:t>
            </w:r>
          </w:p>
        </w:tc>
        <w:tc>
          <w:tcPr>
            <w:tcW w:w="107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621C3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91BBE6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据实结算</w:t>
            </w:r>
          </w:p>
        </w:tc>
      </w:tr>
      <w:tr w14:paraId="518DF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523952">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F809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4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7482C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细胞因子吸引柱</w:t>
            </w:r>
          </w:p>
        </w:tc>
        <w:tc>
          <w:tcPr>
            <w:tcW w:w="133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FA8F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6500</w:t>
            </w:r>
          </w:p>
        </w:tc>
        <w:tc>
          <w:tcPr>
            <w:tcW w:w="106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C0780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107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AD05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B8CD8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据实结算</w:t>
            </w:r>
          </w:p>
        </w:tc>
      </w:tr>
    </w:tbl>
    <w:p w14:paraId="6C9A2E89">
      <w:pPr>
        <w:pStyle w:val="6"/>
        <w:spacing w:line="360" w:lineRule="auto"/>
        <w:jc w:val="left"/>
        <w:outlineLvl w:val="2"/>
        <w:rPr>
          <w:rFonts w:hint="eastAsia" w:ascii="仿宋" w:hAnsi="仿宋" w:eastAsia="仿宋" w:cs="仿宋"/>
          <w:color w:val="auto"/>
          <w:sz w:val="24"/>
          <w:highlight w:val="none"/>
          <w:u w:val="none"/>
          <w:lang w:val="en-US" w:eastAsia="zh-CN"/>
        </w:rPr>
      </w:pPr>
    </w:p>
    <w:p w14:paraId="6FB14C25">
      <w:pPr>
        <w:pStyle w:val="6"/>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79EF95F4">
      <w:pPr>
        <w:pStyle w:val="6"/>
        <w:spacing w:line="360" w:lineRule="auto"/>
        <w:jc w:val="left"/>
        <w:outlineLvl w:val="1"/>
        <w:rPr>
          <w:rFonts w:hint="eastAsia" w:ascii="仿宋" w:hAnsi="仿宋" w:eastAsia="仿宋" w:cs="仿宋"/>
          <w:b/>
          <w:sz w:val="24"/>
          <w:szCs w:val="24"/>
          <w:lang w:eastAsia="zh-CN"/>
        </w:rPr>
      </w:pPr>
      <w:r>
        <w:rPr>
          <w:rFonts w:hint="eastAsia" w:ascii="仿宋" w:hAnsi="仿宋" w:eastAsia="仿宋" w:cs="仿宋"/>
          <w:b/>
          <w:sz w:val="24"/>
          <w:szCs w:val="24"/>
          <w:lang w:eastAsia="zh-CN"/>
        </w:rPr>
        <w:t>二、服务内容及要求</w:t>
      </w:r>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2039"/>
        <w:gridCol w:w="2010"/>
        <w:gridCol w:w="3987"/>
      </w:tblGrid>
      <w:tr w14:paraId="6326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4A9FA2AD">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编号</w:t>
            </w:r>
          </w:p>
        </w:tc>
        <w:tc>
          <w:tcPr>
            <w:tcW w:w="2039" w:type="dxa"/>
            <w:noWrap w:val="0"/>
            <w:vAlign w:val="center"/>
          </w:tcPr>
          <w:p w14:paraId="25768DBC">
            <w:pPr>
              <w:numPr>
                <w:ilvl w:val="0"/>
                <w:numId w:val="0"/>
              </w:numPr>
              <w:tabs>
                <w:tab w:val="left" w:pos="403"/>
              </w:tabs>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标的名称</w:t>
            </w:r>
          </w:p>
        </w:tc>
        <w:tc>
          <w:tcPr>
            <w:tcW w:w="2010" w:type="dxa"/>
            <w:noWrap w:val="0"/>
            <w:vAlign w:val="center"/>
          </w:tcPr>
          <w:p w14:paraId="05DAD7DC">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★医保耗材代码</w:t>
            </w:r>
          </w:p>
        </w:tc>
        <w:tc>
          <w:tcPr>
            <w:tcW w:w="3987" w:type="dxa"/>
            <w:noWrap w:val="0"/>
            <w:vAlign w:val="center"/>
          </w:tcPr>
          <w:p w14:paraId="7080EEA3">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★预期用途/适应症</w:t>
            </w:r>
          </w:p>
        </w:tc>
      </w:tr>
      <w:tr w14:paraId="4E04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01006893">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2039" w:type="dxa"/>
            <w:noWrap w:val="0"/>
            <w:vAlign w:val="center"/>
          </w:tcPr>
          <w:p w14:paraId="04280B8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透析型人工肾一次性使用血液回路导管</w:t>
            </w:r>
          </w:p>
        </w:tc>
        <w:tc>
          <w:tcPr>
            <w:tcW w:w="2010" w:type="dxa"/>
            <w:noWrap w:val="0"/>
            <w:vAlign w:val="center"/>
          </w:tcPr>
          <w:p w14:paraId="5B16A41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C100402010</w:t>
            </w:r>
          </w:p>
        </w:tc>
        <w:tc>
          <w:tcPr>
            <w:tcW w:w="3987" w:type="dxa"/>
            <w:noWrap w:val="0"/>
            <w:vAlign w:val="center"/>
          </w:tcPr>
          <w:p w14:paraId="369F367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肝衰竭患者人工肝治疗配套管路。</w:t>
            </w:r>
          </w:p>
        </w:tc>
      </w:tr>
      <w:tr w14:paraId="2623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0A9F51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2039" w:type="dxa"/>
            <w:noWrap w:val="0"/>
            <w:vAlign w:val="center"/>
          </w:tcPr>
          <w:p w14:paraId="37F974E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细胞因子吸引柱</w:t>
            </w:r>
          </w:p>
        </w:tc>
        <w:tc>
          <w:tcPr>
            <w:tcW w:w="2010" w:type="dxa"/>
            <w:noWrap w:val="0"/>
            <w:vAlign w:val="center"/>
          </w:tcPr>
          <w:p w14:paraId="141A3D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C100701169</w:t>
            </w:r>
          </w:p>
        </w:tc>
        <w:tc>
          <w:tcPr>
            <w:tcW w:w="3987" w:type="dxa"/>
            <w:noWrap w:val="0"/>
            <w:vAlign w:val="center"/>
          </w:tcPr>
          <w:p w14:paraId="164B8AA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肝衰竭患者人工肝治疗炎症因子吸附配套耗材。</w:t>
            </w:r>
          </w:p>
        </w:tc>
      </w:tr>
    </w:tbl>
    <w:p w14:paraId="1A0C0905">
      <w:pPr>
        <w:pStyle w:val="6"/>
        <w:spacing w:line="360" w:lineRule="auto"/>
        <w:jc w:val="left"/>
        <w:outlineLvl w:val="1"/>
        <w:rPr>
          <w:rFonts w:hint="eastAsia" w:ascii="仿宋" w:hAnsi="仿宋" w:eastAsia="仿宋" w:cs="仿宋"/>
          <w:b/>
          <w:sz w:val="24"/>
          <w:szCs w:val="24"/>
          <w:lang w:eastAsia="zh-CN"/>
        </w:rPr>
      </w:pPr>
      <w:r>
        <w:rPr>
          <w:rFonts w:hint="eastAsia" w:ascii="仿宋" w:hAnsi="仿宋" w:eastAsia="仿宋" w:cs="仿宋"/>
          <w:b/>
          <w:bCs/>
          <w:i w:val="0"/>
          <w:iCs w:val="0"/>
          <w:color w:val="FF0000"/>
          <w:kern w:val="0"/>
          <w:sz w:val="24"/>
          <w:szCs w:val="24"/>
          <w:u w:val="none"/>
          <w:lang w:val="en-US" w:eastAsia="zh-CN" w:bidi="ar"/>
        </w:rPr>
        <w:t>★配套机型：北京健帆医疗设备有限公司生产的人工肝治疗仪，型号dx-10。</w:t>
      </w:r>
    </w:p>
    <w:p w14:paraId="2B08EA49">
      <w:pPr>
        <w:pStyle w:val="6"/>
        <w:spacing w:line="360" w:lineRule="auto"/>
        <w:jc w:val="left"/>
        <w:outlineLvl w:val="9"/>
        <w:rPr>
          <w:rFonts w:hint="eastAsia" w:ascii="仿宋" w:hAnsi="仿宋" w:eastAsia="仿宋" w:cs="仿宋"/>
          <w:b/>
          <w:sz w:val="24"/>
          <w:szCs w:val="24"/>
          <w:lang w:eastAsia="zh-CN"/>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627931C4">
      <w:pPr>
        <w:pStyle w:val="6"/>
        <w:spacing w:line="360" w:lineRule="auto"/>
        <w:jc w:val="left"/>
        <w:outlineLvl w:val="2"/>
        <w:rPr>
          <w:rFonts w:hint="eastAsia" w:ascii="仿宋" w:hAnsi="仿宋" w:eastAsia="仿宋" w:cs="仿宋"/>
          <w:b/>
          <w:bCs/>
          <w:sz w:val="24"/>
          <w:szCs w:val="24"/>
        </w:rPr>
      </w:pPr>
    </w:p>
    <w:p w14:paraId="18A22E4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1"/>
        <w:rPr>
          <w:rFonts w:hint="eastAsia" w:ascii="仿宋" w:hAnsi="仿宋" w:eastAsia="仿宋" w:cs="仿宋"/>
          <w:b/>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三</w:t>
      </w:r>
      <w:r>
        <w:rPr>
          <w:rFonts w:hint="eastAsia" w:ascii="仿宋" w:hAnsi="仿宋" w:eastAsia="仿宋" w:cs="仿宋"/>
          <w:b/>
          <w:sz w:val="24"/>
          <w:szCs w:val="24"/>
          <w:lang w:eastAsia="zh-CN"/>
        </w:rPr>
        <w:t>、挂网需求</w:t>
      </w:r>
    </w:p>
    <w:p w14:paraId="557CB0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1.本项目所有标的均须提供挂网产品。</w:t>
      </w:r>
    </w:p>
    <w:p w14:paraId="1468BC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注：本项目中所指“挂网产品”，为“四川省药品和医用耗材招采管理系统”中已挂网产品（不含正在挂网和备案的产品）。</w:t>
      </w:r>
    </w:p>
    <w:p w14:paraId="56B43231">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★四、样品要求</w:t>
      </w:r>
    </w:p>
    <w:p w14:paraId="6F1E36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highlight w:val="yellow"/>
          <w:lang w:val="en-US" w:eastAsia="zh-CN"/>
        </w:rPr>
      </w:pPr>
      <w:r>
        <w:rPr>
          <w:rFonts w:hint="eastAsia" w:ascii="仿宋" w:hAnsi="仿宋" w:eastAsia="仿宋" w:cs="仿宋"/>
          <w:b w:val="0"/>
          <w:bCs/>
          <w:sz w:val="24"/>
          <w:szCs w:val="24"/>
          <w:lang w:val="en-US" w:eastAsia="zh-CN"/>
        </w:rPr>
        <w:t>1.必须提供样品，以供评审专家现场评审。（如响应的同一标的存在材质相同的多个型号，可提供其中一样作为样品）</w:t>
      </w:r>
      <w:r>
        <w:rPr>
          <w:rFonts w:hint="eastAsia" w:ascii="仿宋" w:hAnsi="仿宋" w:eastAsia="仿宋" w:cs="仿宋"/>
          <w:b w:val="0"/>
          <w:bCs/>
          <w:sz w:val="24"/>
          <w:szCs w:val="24"/>
          <w:highlight w:val="yellow"/>
          <w:lang w:val="en-US" w:eastAsia="zh-CN"/>
        </w:rPr>
        <w:t>【如样品和标的产品有同一材质的，竞选人可提供</w:t>
      </w:r>
      <w:r>
        <w:rPr>
          <w:rFonts w:hint="eastAsia" w:ascii="仿宋" w:hAnsi="仿宋" w:eastAsia="仿宋" w:cs="仿宋"/>
          <w:b/>
          <w:bCs w:val="0"/>
          <w:color w:val="FF0000"/>
          <w:sz w:val="40"/>
          <w:szCs w:val="40"/>
          <w:highlight w:val="yellow"/>
          <w:lang w:val="en-US" w:eastAsia="zh-CN"/>
        </w:rPr>
        <w:t>承诺函</w:t>
      </w:r>
      <w:r>
        <w:rPr>
          <w:rFonts w:hint="eastAsia" w:ascii="仿宋" w:hAnsi="仿宋" w:eastAsia="仿宋" w:cs="仿宋"/>
          <w:b w:val="0"/>
          <w:bCs/>
          <w:sz w:val="24"/>
          <w:szCs w:val="24"/>
          <w:highlight w:val="yellow"/>
          <w:lang w:val="en-US" w:eastAsia="zh-CN"/>
        </w:rPr>
        <w:t>证明标的产品与样品为同一材质，则无需提供所有标的产品作为样品。】</w:t>
      </w:r>
    </w:p>
    <w:p w14:paraId="622F1B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2.提交的样品不符合实际需求或存在原理错误则视为无效响应。</w:t>
      </w:r>
    </w:p>
    <w:p w14:paraId="0558D9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3.本项目投标人提供的样品，应与该投标人响应文件保持一致（具体参考《医疗器械说明书和标签管理规定》）。</w:t>
      </w:r>
    </w:p>
    <w:p w14:paraId="23FBEB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highlight w:val="yellow"/>
          <w:lang w:val="en-US" w:eastAsia="zh-CN"/>
        </w:rPr>
      </w:pPr>
      <w:r>
        <w:rPr>
          <w:rFonts w:hint="eastAsia" w:ascii="仿宋" w:hAnsi="仿宋" w:eastAsia="仿宋" w:cs="仿宋"/>
          <w:b w:val="0"/>
          <w:bCs/>
          <w:sz w:val="24"/>
          <w:szCs w:val="24"/>
          <w:highlight w:val="yellow"/>
          <w:lang w:val="en-US" w:eastAsia="zh-CN"/>
        </w:rPr>
        <w:t>注：样品包装需完整，样品评审时将由采购代理机构拍照留存，作为后期验收的依据。</w:t>
      </w:r>
    </w:p>
    <w:p w14:paraId="31FC7B35">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★五、商务要求：</w:t>
      </w:r>
    </w:p>
    <w:p w14:paraId="780EEB0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（一）</w:t>
      </w:r>
      <w:r>
        <w:rPr>
          <w:rFonts w:hint="eastAsia" w:ascii="楷体" w:hAnsi="楷体" w:eastAsia="楷体" w:cs="楷体"/>
          <w:b/>
          <w:bCs/>
          <w:color w:val="auto"/>
          <w:sz w:val="24"/>
          <w:szCs w:val="24"/>
          <w:highlight w:val="none"/>
          <w:shd w:val="clear" w:color="auto" w:fill="auto"/>
          <w:lang w:val="en-US" w:eastAsia="zh-CN"/>
        </w:rPr>
        <w:t>服务期限及地点</w:t>
      </w:r>
    </w:p>
    <w:p w14:paraId="0DAA8DC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1、服务期限：</w:t>
      </w:r>
      <w:r>
        <w:rPr>
          <w:rFonts w:hint="eastAsia" w:ascii="Times New Roman" w:hAnsi="Times New Roman" w:eastAsia="仿宋" w:cs="Times New Roman"/>
          <w:color w:val="auto"/>
          <w:sz w:val="24"/>
          <w:highlight w:val="none"/>
          <w:u w:val="single"/>
          <w:shd w:val="clear" w:color="auto" w:fill="auto"/>
          <w:lang w:val="en-US" w:eastAsia="zh-CN"/>
        </w:rPr>
        <w:t>配送服务期</w:t>
      </w:r>
      <w:r>
        <w:rPr>
          <w:rFonts w:hint="eastAsia" w:eastAsia="仿宋" w:cs="Times New Roman"/>
          <w:color w:val="auto"/>
          <w:sz w:val="24"/>
          <w:highlight w:val="none"/>
          <w:u w:val="single"/>
          <w:shd w:val="clear" w:color="auto" w:fill="auto"/>
          <w:lang w:val="en-US" w:eastAsia="zh-CN"/>
        </w:rPr>
        <w:t>3</w:t>
      </w:r>
      <w:r>
        <w:rPr>
          <w:rFonts w:hint="eastAsia" w:ascii="Times New Roman" w:hAnsi="Times New Roman" w:eastAsia="仿宋" w:cs="Times New Roman"/>
          <w:color w:val="auto"/>
          <w:sz w:val="24"/>
          <w:highlight w:val="none"/>
          <w:u w:val="single"/>
          <w:shd w:val="clear" w:color="auto" w:fill="auto"/>
          <w:lang w:val="en-US" w:eastAsia="zh-CN"/>
        </w:rPr>
        <w:t>年</w:t>
      </w:r>
      <w:r>
        <w:rPr>
          <w:rFonts w:hint="eastAsia" w:eastAsia="仿宋" w:cs="Times New Roman"/>
          <w:color w:val="auto"/>
          <w:sz w:val="24"/>
          <w:highlight w:val="none"/>
          <w:u w:val="single"/>
          <w:shd w:val="clear" w:color="auto" w:fill="auto"/>
          <w:lang w:val="en-US" w:eastAsia="zh-CN"/>
        </w:rPr>
        <w:t>。</w:t>
      </w:r>
    </w:p>
    <w:p w14:paraId="7FD2940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2、每次配送时间必须严格按照采购人配送通知执行，中选人应于收到通知后2小时内响应。急用产品的配送时间不应超过4小时，一般产品原则上的配送时间不应超过2个工作日。</w:t>
      </w:r>
    </w:p>
    <w:p w14:paraId="1FEBDAE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lang w:val="en-US" w:eastAsia="zh-CN"/>
        </w:rPr>
        <w:t>3、服务地点：内江市第一人民医院院内。</w:t>
      </w:r>
    </w:p>
    <w:p w14:paraId="2314B97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（二）付款方法和条件</w:t>
      </w:r>
    </w:p>
    <w:p w14:paraId="1762C81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1.结算方式：双方同意以采购人财务制度规定的付款时间及付款要求进行结算，投标人已完全了解并清楚采购人的财务制度，投标人对采购人财务制度规定的付款要求及付款时间不持异议。</w:t>
      </w:r>
    </w:p>
    <w:p w14:paraId="2F06C4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2.成交价格包含成本、运输、包装、培训、配送、伴随服务、税费及其他附加费用等一切费用。</w:t>
      </w:r>
    </w:p>
    <w:p w14:paraId="2CF9F73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3.若本项目中限定了标的数量或金额，中标人应严格按照响应内容执行，采购人有权拒绝支付超出响应范围的任何内容。</w:t>
      </w:r>
    </w:p>
    <w:p w14:paraId="7C516A1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（三）验收、交付标准和方法</w:t>
      </w:r>
    </w:p>
    <w:p w14:paraId="45EA5C9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按照《财政部关于进一步加强政府采购需求和履约验收管理的指导意见》（财库〔2016〕205号）的要求以及采购人招标文件的质量要求和技术指标、中选人的投标文件及承诺（若有）、国家（行业）标准、采购合同约定标准进行验收；</w:t>
      </w:r>
    </w:p>
    <w:p w14:paraId="32B263E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验收时如发现所配送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098C6A5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若所配送货物不符合验收标准，中选人经过2次更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0CD98E5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4.其他未尽事宜严格按照《财政部关于进一步加强政府采购需求和履约验收管理的指导意见》（财库〔2016〕205号）的要求进行。</w:t>
      </w:r>
    </w:p>
    <w:p w14:paraId="703A352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5.所配送耗材的技术参数与性能指标中涉及到的国家标准、行业标准或地方标准，若有最新标准以最新标准为准。</w:t>
      </w:r>
    </w:p>
    <w:p w14:paraId="3747449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bCs/>
          <w:color w:val="000000"/>
          <w:sz w:val="24"/>
          <w:szCs w:val="24"/>
          <w:lang w:val="en-US" w:eastAsia="zh-CN"/>
        </w:rPr>
        <w:t>（四）售后服务</w:t>
      </w:r>
    </w:p>
    <w:p w14:paraId="5E2D839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要求中选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6622E98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8"/>
          <w:szCs w:val="28"/>
          <w:highlight w:val="yellow"/>
          <w:lang w:val="en-US" w:eastAsia="zh-CN"/>
        </w:rPr>
      </w:pPr>
      <w:r>
        <w:rPr>
          <w:rFonts w:hint="eastAsia" w:ascii="仿宋" w:hAnsi="仿宋" w:eastAsia="仿宋" w:cs="仿宋"/>
          <w:b w:val="0"/>
          <w:bCs w:val="0"/>
          <w:color w:val="000000"/>
          <w:sz w:val="24"/>
          <w:szCs w:val="24"/>
          <w:lang w:val="en-US" w:eastAsia="zh-CN"/>
        </w:rPr>
        <w:t>2.要求中选人指派专人负责与采购人联系售后服务事宜；</w:t>
      </w:r>
      <w:r>
        <w:rPr>
          <w:rFonts w:hint="eastAsia" w:ascii="仿宋" w:hAnsi="仿宋" w:eastAsia="仿宋" w:cs="仿宋"/>
          <w:b/>
          <w:bCs/>
          <w:color w:val="000000"/>
          <w:sz w:val="28"/>
          <w:szCs w:val="28"/>
          <w:highlight w:val="yellow"/>
          <w:lang w:val="en-US" w:eastAsia="zh-CN"/>
        </w:rPr>
        <w:t>在投标文件中列明售后联系人及联系电话。</w:t>
      </w:r>
    </w:p>
    <w:p w14:paraId="690DC08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要求中选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BE012F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4.耗材临近失效期，采购人提前三个月向中选人提出更换，中选人须在耗材失效前一个月更换完毕，不得以任何理由进行推诿。</w:t>
      </w:r>
    </w:p>
    <w:p w14:paraId="2CB6209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5.中选人必须随货提供其具备医疗器械经营企业的有关合法有效的手续（包括但不限于）：</w:t>
      </w:r>
    </w:p>
    <w:p w14:paraId="759CDDC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5.1产品所涉及逐级授权经销商的医疗器械生产（经营）许可证或生产（经营）企业备案表；</w:t>
      </w:r>
    </w:p>
    <w:p w14:paraId="29AF971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5.2医疗器械产品注册证或备案凭证；</w:t>
      </w:r>
    </w:p>
    <w:p w14:paraId="7A5349D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5.3医疗器械生产企业许可证；</w:t>
      </w:r>
    </w:p>
    <w:p w14:paraId="7D75A4B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5.4经销商获得的委托授权书（逐级）；</w:t>
      </w:r>
    </w:p>
    <w:p w14:paraId="52EB88A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5.5产品所涉及逐级授权经销商的企业法人营业执照。</w:t>
      </w:r>
    </w:p>
    <w:p w14:paraId="33FD888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5.6采购人要求提供的相关资料。</w:t>
      </w:r>
    </w:p>
    <w:p w14:paraId="13EF3C1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选人或厂家原因无法按上述要求执行的，则采购人可以部分解除采购合同。</w:t>
      </w:r>
    </w:p>
    <w:p w14:paraId="3AC82EA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bCs/>
          <w:color w:val="000000"/>
          <w:sz w:val="24"/>
          <w:szCs w:val="24"/>
          <w:lang w:val="en-US" w:eastAsia="zh-CN"/>
        </w:rPr>
        <w:t>（五）配送医用耗材质量保证</w:t>
      </w:r>
    </w:p>
    <w:p w14:paraId="0C5B85B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1、中标人须配送原厂生产的未曾使用过的、全新的合格的货品（含配套配件等），表面无划伤、无破损痕迹，且权属清楚，不得侵害他人的合法权利。</w:t>
      </w:r>
    </w:p>
    <w:p w14:paraId="6D9E3CC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中标人所配送货品须符合或优于国家（行业）标准、本项目招标文件要求及投标文件响应内容。当投标文件响应内容与招标文件要求不一致时，以文件响应内容为准。当投标文件响应内容与国家标准、行业标准（若有）不一致时，以较高标准为准。</w:t>
      </w:r>
    </w:p>
    <w:p w14:paraId="08B316A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3、中标人配送货品的设计技术专利、外形专利等均应符合我国有关法律法规及行业标准，凡因以上问题与第三方发生的任何纠纷，由中标人承担全部责任，中标人还应负责赔偿采购人由此而遭受的全部损失。</w:t>
      </w:r>
    </w:p>
    <w:p w14:paraId="683C019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4、中标人保证其配送货品的安全可靠性。在正常使用下不应对使用者造成任何人身伤害，如因产品质量或标识不明确而对使用者造成损失的，由中标人承担相应责任。</w:t>
      </w:r>
    </w:p>
    <w:p w14:paraId="21DACCD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7EC2EBA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6、中标人保证所供耗材有效期不低于1年，自通过最终验收之日起，确保采购人在使用耗材的过程中安全、有效。</w:t>
      </w:r>
    </w:p>
    <w:p w14:paraId="6240CF5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bCs/>
          <w:color w:val="000000"/>
          <w:sz w:val="24"/>
          <w:szCs w:val="24"/>
          <w:lang w:val="en-US" w:eastAsia="zh-CN"/>
        </w:rPr>
        <w:t xml:space="preserve">（六）包装和运输 </w:t>
      </w:r>
    </w:p>
    <w:p w14:paraId="1C3DD85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1、中标人须严格按照《商品包装政府采购需求标准(试行)》、《快递包装政府采购需 求标准(试行)》(财办库〔2020〕123 号)的要求进行产品及相关快递服务的包装。 </w:t>
      </w:r>
    </w:p>
    <w:p w14:paraId="5415541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71B094E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3、本次采购的标的物需要运输，中标人在合同约定的时间内将标的物运输至合同约定地点。</w:t>
      </w:r>
    </w:p>
    <w:p w14:paraId="1973FBB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六</w:t>
      </w:r>
      <w:r>
        <w:rPr>
          <w:rFonts w:hint="eastAsia" w:ascii="仿宋" w:hAnsi="仿宋" w:eastAsia="仿宋" w:cs="仿宋"/>
          <w:b/>
          <w:bCs/>
          <w:color w:val="000000"/>
          <w:sz w:val="24"/>
          <w:szCs w:val="24"/>
          <w:lang w:val="en-US" w:eastAsia="zh-CN"/>
        </w:rPr>
        <w:t>、合同管理</w:t>
      </w:r>
    </w:p>
    <w:p w14:paraId="471660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lang w:val="en-US" w:eastAsia="zh-CN"/>
        </w:rPr>
        <w:t>1、</w:t>
      </w:r>
      <w:r>
        <w:rPr>
          <w:rFonts w:hint="eastAsia" w:ascii="仿宋" w:hAnsi="仿宋" w:eastAsia="仿宋" w:cs="仿宋"/>
          <w:color w:val="auto"/>
          <w:sz w:val="24"/>
          <w:szCs w:val="24"/>
          <w:highlight w:val="none"/>
          <w:shd w:val="clear" w:color="auto" w:fill="auto"/>
          <w:lang w:eastAsia="zh-CN"/>
        </w:rPr>
        <w:t>是否为据实结算：☑是□</w:t>
      </w:r>
      <w:r>
        <w:rPr>
          <w:rFonts w:hint="eastAsia" w:ascii="仿宋" w:hAnsi="仿宋" w:eastAsia="仿宋" w:cs="仿宋"/>
          <w:color w:val="auto"/>
          <w:sz w:val="24"/>
          <w:szCs w:val="24"/>
          <w:highlight w:val="none"/>
          <w:shd w:val="clear" w:color="auto" w:fill="auto"/>
        </w:rPr>
        <w:t>否</w:t>
      </w:r>
    </w:p>
    <w:p w14:paraId="45E3274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3年。</w:t>
      </w:r>
    </w:p>
    <w:p w14:paraId="1EB587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双方同意以采购人财务制度规定的付款时间及付款要求进行结算，投标人已完全了解并清楚采购人的财务制度，投标人对采购人财务制度规定的付款要求及付款时间不持异议。</w:t>
      </w:r>
    </w:p>
    <w:p w14:paraId="353CF996">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color w:val="000000"/>
          <w:sz w:val="24"/>
          <w:szCs w:val="24"/>
          <w:shd w:val="clear"/>
        </w:rPr>
      </w:pPr>
      <w:r>
        <w:rPr>
          <w:rFonts w:hint="eastAsia" w:ascii="仿宋" w:hAnsi="仿宋" w:eastAsia="仿宋" w:cs="仿宋"/>
          <w:b w:val="0"/>
          <w:bCs w:val="0"/>
          <w:color w:val="000000"/>
          <w:sz w:val="24"/>
          <w:szCs w:val="24"/>
          <w:shd w:val="clear"/>
          <w:lang w:val="en-US" w:eastAsia="zh-CN"/>
        </w:rPr>
        <w:t>4、</w:t>
      </w:r>
      <w:r>
        <w:rPr>
          <w:rFonts w:hint="eastAsia" w:ascii="仿宋" w:hAnsi="仿宋" w:eastAsia="仿宋" w:cs="仿宋"/>
          <w:b w:val="0"/>
          <w:bCs w:val="0"/>
          <w:color w:val="000000"/>
          <w:sz w:val="24"/>
          <w:szCs w:val="24"/>
          <w:shd w:val="clear"/>
        </w:rPr>
        <w:t>违约责任与解决争议的方法：</w:t>
      </w:r>
    </w:p>
    <w:p w14:paraId="0395D7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违约责任</w:t>
      </w:r>
    </w:p>
    <w:p w14:paraId="01963C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（1）中选人逾期15日内不能配送采购人所需医用耗材的，应向采购人每日支付该批次货款千分之三的违约金。</w:t>
      </w:r>
    </w:p>
    <w:p w14:paraId="6F7C0B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（2）中选人逾期15日及以上不能配送以上产品的，视同不能供货，须向采购人支付该批次货款的10%的违约金，同时采购人可以单方面解除采购合同。</w:t>
      </w:r>
    </w:p>
    <w:p w14:paraId="56E064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（3）若因中选人原因造成采购人被监管部门通报三次及以上或者造成采购人违规采购，采购人有权单方面解除采购合同。同时，采购人有权要求中选人支付该批货物价款20%的违约金。</w:t>
      </w:r>
    </w:p>
    <w:p w14:paraId="644FDC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弥补采购人损失的，中选人还应当补足。即使产品已经验收入库（或安装调试完毕）后，采购人才发现产品为不合格产品的，也视为中选人违约，中选人应当承担本条约定的责任。同时采购人有权退回库存产品。</w:t>
      </w:r>
    </w:p>
    <w:p w14:paraId="2B5C15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（5）若根据法律规定或协议约定产生采购人退、换货或拒绝收货情形，由中选人承担退换货产生的各项税、费或其他支出。</w:t>
      </w:r>
    </w:p>
    <w:p w14:paraId="4D1FDC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（6）中选人不能保证及时供货，除应当向采购人承担违约责任外，采购人仍有权单方面解除采购合同。</w:t>
      </w:r>
    </w:p>
    <w:p w14:paraId="127577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（7）因中选人配送的产品不合格造成采购人或第三人人身损害或财产损失的，由中选人承担赔偿责任。</w:t>
      </w:r>
    </w:p>
    <w:p w14:paraId="187440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8）若因中选人原因造成采购人挂网执行存在问题以及线上支付不及时、造成采购人未挂网采购或者存在其他问题的，中选人应承担违约责任，且采购人有权要求中选人支付该批货物价款20%的违约金，采购人有权单方面解除合同。</w:t>
      </w:r>
    </w:p>
    <w:p w14:paraId="7E49DA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eastAsia="zh-CN"/>
        </w:rPr>
      </w:pPr>
      <w:r>
        <w:rPr>
          <w:rFonts w:hint="eastAsia" w:ascii="仿宋" w:hAnsi="仿宋" w:eastAsia="仿宋" w:cs="仿宋"/>
          <w:color w:val="auto"/>
          <w:sz w:val="24"/>
          <w:szCs w:val="24"/>
          <w:highlight w:val="none"/>
          <w:shd w:val="clear" w:color="auto" w:fill="auto"/>
          <w:lang w:val="en-US" w:eastAsia="zh-CN"/>
        </w:rPr>
        <w:t>4.2</w:t>
      </w:r>
      <w:r>
        <w:rPr>
          <w:rFonts w:hint="eastAsia" w:ascii="仿宋" w:hAnsi="仿宋" w:eastAsia="仿宋" w:cs="仿宋"/>
          <w:color w:val="auto"/>
          <w:sz w:val="24"/>
          <w:szCs w:val="24"/>
          <w:highlight w:val="none"/>
          <w:shd w:val="clear" w:color="auto" w:fill="auto"/>
        </w:rPr>
        <w:t>解决合同纠纷的方式</w:t>
      </w:r>
      <w:r>
        <w:rPr>
          <w:rFonts w:hint="eastAsia" w:ascii="仿宋" w:hAnsi="仿宋" w:eastAsia="仿宋" w:cs="仿宋"/>
          <w:color w:val="auto"/>
          <w:sz w:val="24"/>
          <w:szCs w:val="24"/>
          <w:highlight w:val="none"/>
          <w:shd w:val="clear" w:color="auto" w:fill="auto"/>
          <w:lang w:eastAsia="zh-CN"/>
        </w:rPr>
        <w:t>：</w:t>
      </w:r>
    </w:p>
    <w:p w14:paraId="2F0AD2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bidi="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1</w:t>
      </w:r>
      <w:r>
        <w:rPr>
          <w:rFonts w:hint="eastAsia" w:ascii="仿宋" w:hAnsi="仿宋" w:eastAsia="仿宋" w:cs="仿宋"/>
          <w:color w:val="000000"/>
          <w:kern w:val="0"/>
          <w:sz w:val="24"/>
          <w:szCs w:val="24"/>
          <w:highlight w:val="none"/>
          <w:shd w:val="clear" w:color="auto" w:fill="auto"/>
          <w:lang w:bidi="zh-CN"/>
        </w:rPr>
        <w:t>）因货物的质量问题发生的争议，由法定质量鉴定机构或其认可的质量鉴定机构进行质量鉴定。货物符合标准的，鉴定费由采购人承担；货物不符合质量标准的，鉴定费由中选人承担。</w:t>
      </w:r>
    </w:p>
    <w:p w14:paraId="28178275">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2</w:t>
      </w:r>
      <w:r>
        <w:rPr>
          <w:rFonts w:hint="eastAsia" w:ascii="仿宋" w:hAnsi="仿宋" w:eastAsia="仿宋" w:cs="仿宋"/>
          <w:color w:val="000000"/>
          <w:kern w:val="0"/>
          <w:sz w:val="24"/>
          <w:szCs w:val="24"/>
          <w:highlight w:val="none"/>
          <w:shd w:val="clear" w:color="auto" w:fill="auto"/>
          <w:lang w:bidi="zh-CN"/>
        </w:rPr>
        <w:t>）合同履行期间，若双方发生争议，可协商或由有关部门调解解决，协商或调解不成的，可向采购人住所地人民法院依法提起诉讼解决。</w:t>
      </w:r>
    </w:p>
    <w:p w14:paraId="5E00763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七</w:t>
      </w:r>
      <w:r>
        <w:rPr>
          <w:rFonts w:hint="eastAsia" w:ascii="仿宋" w:hAnsi="仿宋" w:eastAsia="仿宋" w:cs="仿宋"/>
          <w:b/>
          <w:bCs/>
          <w:color w:val="auto"/>
          <w:sz w:val="24"/>
          <w:szCs w:val="24"/>
          <w:highlight w:val="none"/>
          <w:shd w:val="clear" w:color="auto" w:fill="auto"/>
          <w:lang w:val="en-US" w:eastAsia="zh-CN"/>
        </w:rPr>
        <w:t>、</w:t>
      </w:r>
      <w:r>
        <w:rPr>
          <w:rFonts w:hint="eastAsia" w:ascii="仿宋" w:hAnsi="仿宋" w:eastAsia="仿宋" w:cs="仿宋"/>
          <w:b/>
          <w:bCs/>
          <w:color w:val="auto"/>
          <w:kern w:val="2"/>
          <w:sz w:val="24"/>
          <w:szCs w:val="24"/>
          <w:highlight w:val="none"/>
          <w:shd w:val="clear" w:color="auto" w:fill="auto"/>
          <w:lang w:val="en-US" w:eastAsia="zh-CN" w:bidi="ar-SA"/>
        </w:rPr>
        <w:t>履约验收方案</w:t>
      </w:r>
    </w:p>
    <w:p w14:paraId="32F8CB9F">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履约验收程序</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u w:val="none"/>
          <w:shd w:val="clear" w:color="auto" w:fill="auto"/>
          <w:lang w:val="en-US" w:eastAsia="zh-CN"/>
        </w:rPr>
        <w:t>分批次验收。</w:t>
      </w:r>
    </w:p>
    <w:p w14:paraId="1A851D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履约验收时间：</w:t>
      </w:r>
      <w:r>
        <w:rPr>
          <w:rFonts w:hint="eastAsia" w:ascii="仿宋" w:hAnsi="仿宋" w:eastAsia="仿宋" w:cs="仿宋"/>
          <w:color w:val="auto"/>
          <w:sz w:val="24"/>
          <w:szCs w:val="24"/>
          <w:highlight w:val="none"/>
          <w:u w:val="none"/>
          <w:shd w:val="clear" w:color="auto" w:fill="auto"/>
          <w:lang w:val="en-US" w:eastAsia="zh-CN"/>
        </w:rPr>
        <w:t>合同期限内，根据采购人要求分批次送货，完成送货、验收入库视为验收完成。</w:t>
      </w:r>
    </w:p>
    <w:p w14:paraId="421D27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验收组织的其他事项：</w:t>
      </w:r>
      <w:r>
        <w:rPr>
          <w:rFonts w:hint="eastAsia" w:ascii="仿宋" w:hAnsi="仿宋" w:eastAsia="仿宋" w:cs="仿宋"/>
          <w:color w:val="000000"/>
          <w:sz w:val="24"/>
          <w:szCs w:val="24"/>
          <w:u w:val="none"/>
          <w:lang w:val="en-US" w:eastAsia="zh-CN"/>
        </w:rPr>
        <w:t>无。</w:t>
      </w:r>
    </w:p>
    <w:p w14:paraId="6C3656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技术履约验收内容：</w:t>
      </w:r>
      <w:r>
        <w:rPr>
          <w:rFonts w:hint="eastAsia" w:ascii="仿宋" w:hAnsi="仿宋" w:eastAsia="仿宋" w:cs="仿宋"/>
          <w:color w:val="auto"/>
          <w:sz w:val="24"/>
          <w:szCs w:val="24"/>
          <w:highlight w:val="none"/>
          <w:u w:val="none"/>
          <w:shd w:val="clear" w:color="auto" w:fill="auto"/>
          <w:lang w:val="en-US" w:eastAsia="zh-CN"/>
        </w:rPr>
        <w:t>采购人按照本项目技术要求进行验收。</w:t>
      </w:r>
    </w:p>
    <w:p w14:paraId="1C94BD7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商务履约验收内容：</w:t>
      </w:r>
      <w:r>
        <w:rPr>
          <w:rFonts w:hint="eastAsia" w:ascii="仿宋" w:hAnsi="仿宋" w:eastAsia="仿宋" w:cs="仿宋"/>
          <w:color w:val="auto"/>
          <w:sz w:val="24"/>
          <w:szCs w:val="24"/>
          <w:highlight w:val="none"/>
          <w:u w:val="none"/>
          <w:shd w:val="clear" w:color="auto" w:fill="auto"/>
          <w:lang w:val="en-US" w:eastAsia="zh-CN"/>
        </w:rPr>
        <w:t>采购人按照本项目商务要求进行验收。</w:t>
      </w:r>
    </w:p>
    <w:p w14:paraId="7346D09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sz w:val="24"/>
          <w:szCs w:val="24"/>
          <w:lang w:eastAsia="zh-CN"/>
        </w:rPr>
      </w:pP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履约收标准：</w:t>
      </w:r>
      <w:r>
        <w:rPr>
          <w:rFonts w:hint="eastAsia" w:ascii="仿宋" w:hAnsi="仿宋" w:eastAsia="仿宋" w:cs="仿宋"/>
          <w:color w:val="auto"/>
          <w:sz w:val="24"/>
          <w:szCs w:val="24"/>
          <w:highlight w:val="none"/>
          <w:u w:val="none"/>
          <w:shd w:val="clear" w:color="auto" w:fill="auto"/>
          <w:lang w:val="en-US" w:eastAsia="zh-CN"/>
        </w:rPr>
        <w:t>采购人按照本项目合同要求进行验收。</w:t>
      </w:r>
    </w:p>
    <w:p w14:paraId="66614DCB">
      <w:pPr>
        <w:bidi w:val="0"/>
        <w:ind w:firstLine="482" w:firstLineChars="200"/>
        <w:rPr>
          <w:rFonts w:hint="eastAsia" w:ascii="仿宋" w:hAnsi="仿宋" w:eastAsia="仿宋" w:cs="仿宋"/>
          <w:b/>
          <w:bCs/>
          <w:kern w:val="0"/>
          <w:sz w:val="24"/>
          <w:szCs w:val="24"/>
          <w:lang w:val="en-US" w:bidi="zh-CN"/>
        </w:rPr>
      </w:pPr>
      <w:r>
        <w:rPr>
          <w:rFonts w:hint="eastAsia" w:ascii="仿宋" w:hAnsi="仿宋" w:eastAsia="仿宋" w:cs="仿宋"/>
          <w:b/>
          <w:bCs/>
          <w:sz w:val="24"/>
          <w:lang w:val="en-US" w:eastAsia="zh-CN"/>
        </w:rPr>
        <w:t>注：</w:t>
      </w:r>
      <w:r>
        <w:rPr>
          <w:rFonts w:hint="eastAsia" w:ascii="仿宋" w:hAnsi="仿宋" w:eastAsia="仿宋" w:cs="仿宋"/>
          <w:b/>
          <w:bCs/>
          <w:kern w:val="0"/>
          <w:sz w:val="24"/>
          <w:szCs w:val="24"/>
          <w:lang w:val="zh-CN" w:bidi="zh-CN"/>
        </w:rPr>
        <w:t>★</w:t>
      </w:r>
      <w:r>
        <w:rPr>
          <w:rFonts w:hint="eastAsia" w:ascii="仿宋" w:hAnsi="仿宋" w:eastAsia="仿宋" w:cs="仿宋"/>
          <w:b/>
          <w:bCs/>
          <w:kern w:val="0"/>
          <w:sz w:val="24"/>
          <w:szCs w:val="24"/>
          <w:lang w:val="en-US" w:bidi="zh-CN"/>
        </w:rPr>
        <w:t>条款为本项目实质性要求，不满足视为无效响应。</w:t>
      </w:r>
    </w:p>
    <w:p w14:paraId="18E143A8">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5540F"/>
    <w:rsid w:val="09D77D7E"/>
    <w:rsid w:val="0B756B6D"/>
    <w:rsid w:val="0FD4241B"/>
    <w:rsid w:val="16632DA0"/>
    <w:rsid w:val="17B00356"/>
    <w:rsid w:val="18616AAD"/>
    <w:rsid w:val="2A246955"/>
    <w:rsid w:val="34055DB7"/>
    <w:rsid w:val="3D736378"/>
    <w:rsid w:val="43E309DF"/>
    <w:rsid w:val="521E674F"/>
    <w:rsid w:val="56E42DD6"/>
    <w:rsid w:val="59270E58"/>
    <w:rsid w:val="608A4CFF"/>
    <w:rsid w:val="6CEC76D2"/>
    <w:rsid w:val="703C5414"/>
    <w:rsid w:val="7F894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4324</Words>
  <Characters>4435</Characters>
  <Lines>0</Lines>
  <Paragraphs>0</Paragraphs>
  <TotalTime>0</TotalTime>
  <ScaleCrop>false</ScaleCrop>
  <LinksUpToDate>false</LinksUpToDate>
  <CharactersWithSpaces>4441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2025-08-13T00:47:00Z</dcterms:created>
  <dc:creator>Administrator</dc:creator>
  <cp:lastModifiedBy>四川知行招标</cp:lastModifiedBy>
  <dcterms:modified xsi:type="dcterms:W3CDTF">2026-07-16T09:16:17Z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120750298B304F25A6A2FC324DD9F423_12</vt:lpwstr>
  </property>
  <property fmtid="{D5CDD505-2E9C-101B-9397-08002B2CF9AE}" pid="4" name="KSOTemplateDocerSaveRecord">
    <vt:lpwstr>eyJoZGlkIjoiOWY1OTcwN2FkNmUxYzAxMjdmNWMyMmJjYzcwYjYwOTMiLCJ1c2VySWQiOiIyNTQ2NjM5MDgifQ==</vt:lpwstr>
  </property>
</Properties>
</file>