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11"/>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2E104DF2">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11"/>
        <w:jc w:val="left"/>
        <w:outlineLvl w:val="1"/>
        <w:rPr>
          <w:rFonts w:hint="eastAsia" w:ascii="仿宋" w:hAnsi="仿宋" w:eastAsia="仿宋" w:cs="仿宋"/>
          <w:sz w:val="28"/>
          <w:szCs w:val="28"/>
          <w:highlight w:val="none"/>
          <w:lang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3234D82E">
      <w:pPr>
        <w:pStyle w:val="11"/>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8"/>
        <w:tblW w:w="91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5"/>
        <w:gridCol w:w="3264"/>
        <w:gridCol w:w="1851"/>
        <w:gridCol w:w="955"/>
        <w:gridCol w:w="709"/>
        <w:gridCol w:w="1827"/>
      </w:tblGrid>
      <w:tr w14:paraId="0D9C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3AB062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编号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1F7E3C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标的名称</w:t>
            </w:r>
          </w:p>
        </w:tc>
        <w:tc>
          <w:tcPr>
            <w:tcW w:w="1851"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B23E50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highlight w:val="none"/>
              </w:rPr>
              <w:t>★</w:t>
            </w:r>
            <w:r>
              <w:rPr>
                <w:rFonts w:hint="eastAsia" w:ascii="仿宋" w:hAnsi="仿宋" w:eastAsia="仿宋" w:cs="仿宋"/>
                <w:b/>
                <w:bCs/>
                <w:color w:val="auto"/>
                <w:sz w:val="22"/>
                <w:szCs w:val="22"/>
                <w:highlight w:val="none"/>
                <w:shd w:val="clear" w:color="auto" w:fill="auto"/>
                <w:lang w:val="en-US" w:eastAsia="zh-CN"/>
              </w:rPr>
              <w:t>预算单价</w:t>
            </w:r>
            <w:r>
              <w:rPr>
                <w:rFonts w:hint="eastAsia" w:ascii="仿宋" w:hAnsi="仿宋" w:eastAsia="仿宋" w:cs="仿宋"/>
                <w:b/>
                <w:bCs/>
                <w:color w:val="auto"/>
                <w:sz w:val="22"/>
                <w:szCs w:val="22"/>
                <w:highlight w:val="none"/>
                <w:shd w:val="clear" w:color="auto" w:fill="auto"/>
                <w:lang w:eastAsia="zh-CN"/>
              </w:rPr>
              <w:t>/</w:t>
            </w:r>
            <w:r>
              <w:rPr>
                <w:rFonts w:hint="eastAsia" w:ascii="仿宋" w:hAnsi="仿宋" w:eastAsia="仿宋" w:cs="仿宋"/>
                <w:b/>
                <w:bCs/>
                <w:color w:val="auto"/>
                <w:sz w:val="22"/>
                <w:szCs w:val="22"/>
                <w:highlight w:val="none"/>
                <w:shd w:val="clear" w:color="auto" w:fill="auto"/>
                <w:lang w:val="en-US" w:eastAsia="zh-Hans"/>
              </w:rPr>
              <w:t>单价最高限价</w:t>
            </w:r>
            <w:r>
              <w:rPr>
                <w:rFonts w:hint="eastAsia" w:ascii="仿宋" w:hAnsi="仿宋" w:eastAsia="仿宋" w:cs="仿宋"/>
                <w:b/>
                <w:bCs/>
                <w:color w:val="auto"/>
                <w:sz w:val="22"/>
                <w:szCs w:val="22"/>
                <w:highlight w:val="none"/>
                <w:shd w:val="clear" w:color="auto" w:fill="auto"/>
                <w:lang w:val="en-US" w:eastAsia="zh-CN"/>
              </w:rPr>
              <w:t>（元）</w:t>
            </w:r>
          </w:p>
        </w:tc>
        <w:tc>
          <w:tcPr>
            <w:tcW w:w="95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DE2BB9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预计数量</w:t>
            </w:r>
          </w:p>
        </w:tc>
        <w:tc>
          <w:tcPr>
            <w:tcW w:w="70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4D67D8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计量单位</w:t>
            </w:r>
          </w:p>
        </w:tc>
        <w:tc>
          <w:tcPr>
            <w:tcW w:w="18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513D52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highlight w:val="none"/>
              </w:rPr>
              <w:t>★</w:t>
            </w:r>
            <w:r>
              <w:rPr>
                <w:rFonts w:hint="eastAsia" w:ascii="仿宋" w:hAnsi="仿宋" w:eastAsia="仿宋" w:cs="仿宋"/>
                <w:b/>
                <w:bCs/>
                <w:color w:val="auto"/>
                <w:sz w:val="22"/>
                <w:szCs w:val="22"/>
                <w:highlight w:val="none"/>
                <w:shd w:val="clear" w:color="auto" w:fill="auto"/>
                <w:lang w:val="en-US" w:eastAsia="zh-CN"/>
              </w:rPr>
              <w:t>预算金额/最高限价（元）</w:t>
            </w:r>
          </w:p>
        </w:tc>
      </w:tr>
      <w:tr w14:paraId="7B24E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D0EB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E163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lang w:val="en-US" w:eastAsia="zh-CN"/>
              </w:rPr>
              <w:t> 防脱载玻片</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832B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18F6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9AF7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CF61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83DB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AAF1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01F9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lang w:val="en-US" w:eastAsia="zh-CN"/>
              </w:rPr>
              <w:t>莱卡刀片</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950B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550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29AD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08E6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A314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D2DD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7E4C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903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EDTA 抗原修复液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8E64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50A9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80E9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62AD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51B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39FC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397E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5% BSA</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C743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450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0BEB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67BC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E5CD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1C55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1978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B52B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苏木素-伊红（HE）染色试剂盒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2DA4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8F76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B3BB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EC54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5212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BE87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07BD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DAB 显色液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7723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C939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431A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A8B8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AEB3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1"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704D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39DB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抗荧光淬灭封片剂（含 DAPI）</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2ADD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1BC3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4604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0B6C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1C16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B4E3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94DB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中性树胶封片剂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3F61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7618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E723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2AD7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71A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3739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136E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THP-1细胞</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1EAF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2400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679A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D9CA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株</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7F0E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A591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2C2A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9D8B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PNKD过表达慢病毒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3EBE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2600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B808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18D4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8922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3CC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383E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4BC8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 xml:space="preserve"> PNKD shRNA 慢病毒（三保一）</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625E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4BF6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33C3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7BF2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75F1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22E3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C3AB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Lipofectamine RNAiMAX 转染试剂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356E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3700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F417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4275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5010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43F4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3351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6538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Lipofectamine 3000 转染试剂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F481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01E0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A03F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779D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7C3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0B8A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937B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PNKD抗体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6443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948F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29E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3A82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260B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7E2A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F130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CD68抗体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4BA8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A260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CA83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ED11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BFF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2673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427E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CD163抗体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0439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809F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3B5E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CB96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ECB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D93A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B195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sz w:val="22"/>
                <w:szCs w:val="22"/>
                <w:lang w:val="en-US" w:eastAsia="zh-CN"/>
              </w:rPr>
              <w:t>CD206抗体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57E9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8BC6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A9DE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6181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548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AE7C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D838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IL-10抗体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699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49E7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488F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CC8E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0B9B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F216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7581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TGF-β抗体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C6EC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492E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5332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3EB9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03C9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CF09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FA55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HIF-1α抗体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C09C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FE4A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2A8A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11B1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7AA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CC5D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E07B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HK2抗体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0D6B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7561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4072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82F2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7490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9CD4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9151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LDHA抗体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4771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63B2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52C0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E6F9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049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BD5D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BBF7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PD-L1抗体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9FB3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9344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FD02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0F08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9F04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20BD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455E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pan-Kla抗体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1E80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DD41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2B23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2056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A0D7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6376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928D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E-cadherin抗体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062C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8514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EF72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FB94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085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8186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3AC9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Beta-actin抗体</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AFD5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9780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ECD8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91B6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B01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DF95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04D5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基质胶</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CACE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3EF6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8B12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528F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16E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3736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1367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完全培养基</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92BE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0C42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3B03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31BC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1092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9A70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4FD0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fldChar w:fldCharType="begin"/>
            </w:r>
            <w:r>
              <w:rPr>
                <w:rFonts w:hint="eastAsia" w:ascii="仿宋" w:hAnsi="仿宋" w:eastAsia="仿宋" w:cs="仿宋"/>
                <w:b/>
                <w:bCs/>
                <w:color w:val="auto"/>
                <w:sz w:val="22"/>
                <w:szCs w:val="22"/>
                <w:highlight w:val="none"/>
                <w:shd w:val="clear" w:color="auto" w:fill="auto"/>
                <w:lang w:val="en-US" w:eastAsia="zh-CN"/>
              </w:rPr>
              <w:instrText xml:space="preserve"> HYPERLINK "https://www.procell.com.cn/p/rpmi-1640-pm150110-71499" \t "https://www.procell.com.cn/p/_blank" </w:instrText>
            </w:r>
            <w:r>
              <w:rPr>
                <w:rFonts w:hint="eastAsia" w:ascii="仿宋" w:hAnsi="仿宋" w:eastAsia="仿宋" w:cs="仿宋"/>
                <w:b/>
                <w:bCs/>
                <w:color w:val="auto"/>
                <w:sz w:val="22"/>
                <w:szCs w:val="22"/>
                <w:highlight w:val="none"/>
                <w:shd w:val="clear" w:color="auto" w:fill="auto"/>
                <w:lang w:val="en-US" w:eastAsia="zh-CN"/>
              </w:rPr>
              <w:fldChar w:fldCharType="separate"/>
            </w:r>
            <w:r>
              <w:rPr>
                <w:rFonts w:hint="eastAsia" w:ascii="仿宋" w:hAnsi="仿宋" w:eastAsia="仿宋" w:cs="仿宋"/>
                <w:b/>
                <w:bCs/>
                <w:color w:val="auto"/>
                <w:sz w:val="22"/>
                <w:szCs w:val="22"/>
                <w:highlight w:val="none"/>
                <w:shd w:val="clear" w:color="auto" w:fill="auto"/>
                <w:lang w:val="en-US" w:eastAsia="zh-CN"/>
              </w:rPr>
              <w:t>RPMI-1640</w:t>
            </w:r>
            <w:r>
              <w:rPr>
                <w:rFonts w:hint="eastAsia" w:ascii="仿宋" w:hAnsi="仿宋" w:eastAsia="仿宋" w:cs="仿宋"/>
                <w:b/>
                <w:bCs/>
                <w:color w:val="auto"/>
                <w:sz w:val="22"/>
                <w:szCs w:val="22"/>
                <w:highlight w:val="none"/>
                <w:shd w:val="clear" w:color="auto" w:fill="auto"/>
                <w:lang w:val="en-US" w:eastAsia="zh-CN"/>
              </w:rPr>
              <w:fldChar w:fldCharType="end"/>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CF61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75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F8F4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F9F2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04E3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8376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F3DB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A393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胎牛血清</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25B4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E86A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2D93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09A9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86A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F5E5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A99C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青霉素-链霉素混合溶液(100×双抗)</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990E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125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A382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21AC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FF29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0D44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7E22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8B09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胰酶-EDTA 消化液（0.25%）</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08B6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8B66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34EB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5D52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ED3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78C6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989A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HRP 标记山羊抗兔二抗</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E98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6A9D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19A3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90DE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03F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843F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FC46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PMA</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0BDE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0D5F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FA5F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4CAF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BB24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A250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87BD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Alexa Fluor 488/594 荧光二抗</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5167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240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5985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75DF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0957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069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CF00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2268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M-CSF</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A441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0C09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45C7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3F87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14C9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00DD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F46C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T25 细胞培养瓶</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D258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115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DEF7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1B29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689D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066C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FE7A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C6E3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 孔细胞培养板</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1111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D66F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4DF1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4A0A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A3E1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3D63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742C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12 孔细胞培养板</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A1AD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C5FE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4B5C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DF28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E9CE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BDE7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41D6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96 孔细胞培养板</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8198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135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0BD9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A79D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FA29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095A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97ED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4A8C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Transwell 小室（0.4μm）</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8A7F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925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8670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7D38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3644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1FC4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D2FB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5DE9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Transwell 小室（8μm）</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6BE7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9136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B83D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包</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86E4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6C6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25BF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95FA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PVDF膜0.45um</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21E9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34EB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4335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卷</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C582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1C61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350F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0934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电泳液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F8C3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805F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50CF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653E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1322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AABB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67A6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转膜液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5C96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975</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07E0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CB9B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3C1D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B4A3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DD13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C9A4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预染蛋白Marker</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1F0B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320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8980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C245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0A96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41229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5A39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5E2A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ECL 高灵敏度化学发光液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361A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745D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40F5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AE12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5BE60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600F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FAC1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Trizol 试剂</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0A6C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1300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9A3E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66C4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962E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7F47B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0527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0F25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逆转录试剂盒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54A9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0B32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DF19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55D0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37DD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71EE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8070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SYBR Green qPCR 预混液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AD88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1400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0D2C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9454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5474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2072A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50F0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E79F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qPCR 引物套装</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3CB2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80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E457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20</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4957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对</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7B28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r w14:paraId="66DB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4FF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A02C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4%多聚甲醛固定液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0025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B776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D117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6E4E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0D914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27E6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1DDA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小鼠 Pnkd 巨噬细胞靶向AAV敲减病毒（三保一）</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7C16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9200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E50C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219F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A237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1F21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24A75E">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7568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Polybrene</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FD16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3200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530F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3C04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支</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BAEA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473E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B0CF2E">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55</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72BF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无血清细胞冻存液</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D69B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350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5862B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9286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瓶</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1D1F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0CA8C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3DA32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C91E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无菌离心管（1.5mL/15mL/50mL）</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1451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450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8EF5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9C53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FCCC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4AE01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20D27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57</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84F3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无菌移液器吸头（10μL/200μL/1mL）</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6BA2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52C5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9340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箱</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D0B1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7AF17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C3F34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856D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八联排 PCR 管 + 光学封板膜</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3E16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350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B9171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B0AE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
              </w:rPr>
            </w:pPr>
            <w:r>
              <w:rPr>
                <w:rFonts w:hint="eastAsia" w:ascii="仿宋" w:hAnsi="仿宋" w:eastAsia="仿宋" w:cs="仿宋"/>
                <w:b/>
                <w:bCs/>
                <w:i w:val="0"/>
                <w:iCs w:val="0"/>
                <w:color w:val="auto"/>
                <w:kern w:val="2"/>
                <w:sz w:val="22"/>
                <w:szCs w:val="22"/>
                <w:highlight w:val="none"/>
                <w:u w:val="none"/>
                <w:shd w:val="clear" w:color="auto" w:fill="auto"/>
                <w:lang w:val="en-US" w:eastAsia="zh-CN" w:bidi="ar"/>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50A3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40732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FE819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59</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4141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rPr>
              <w:t>IFN-γ</w:t>
            </w:r>
            <w:r>
              <w:rPr>
                <w:rFonts w:hint="eastAsia" w:ascii="仿宋" w:hAnsi="仿宋" w:eastAsia="仿宋" w:cs="仿宋"/>
                <w:b/>
                <w:bCs/>
                <w:color w:val="auto"/>
                <w:sz w:val="22"/>
                <w:szCs w:val="22"/>
                <w:highlight w:val="none"/>
                <w:shd w:val="clear" w:color="auto" w:fill="auto"/>
                <w:lang w:val="en-US" w:eastAsia="zh-CN"/>
              </w:rPr>
              <w:t>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3360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2800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B4DF3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2CBA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
              </w:rPr>
            </w:pPr>
            <w:r>
              <w:rPr>
                <w:rFonts w:hint="eastAsia" w:ascii="仿宋" w:hAnsi="仿宋" w:eastAsia="仿宋" w:cs="仿宋"/>
                <w:b/>
                <w:bCs/>
                <w:i w:val="0"/>
                <w:iCs w:val="0"/>
                <w:color w:val="auto"/>
                <w:kern w:val="2"/>
                <w:sz w:val="22"/>
                <w:szCs w:val="22"/>
                <w:highlight w:val="none"/>
                <w:u w:val="none"/>
                <w:shd w:val="clear" w:color="auto" w:fill="auto"/>
                <w:lang w:val="en-US" w:eastAsia="zh-CN" w:bidi="ar"/>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BD74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按需求</w:t>
            </w:r>
          </w:p>
        </w:tc>
      </w:tr>
      <w:tr w14:paraId="154CC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44DD1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60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88F5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rPr>
              <w:t>TNF-α</w:t>
            </w:r>
            <w:r>
              <w:rPr>
                <w:rFonts w:hint="eastAsia" w:ascii="仿宋" w:hAnsi="仿宋" w:eastAsia="仿宋" w:cs="仿宋"/>
                <w:b/>
                <w:bCs/>
                <w:color w:val="auto"/>
                <w:sz w:val="22"/>
                <w:szCs w:val="22"/>
                <w:highlight w:val="none"/>
                <w:shd w:val="clear" w:color="auto" w:fill="auto"/>
                <w:lang w:val="en-US" w:eastAsia="zh-CN"/>
              </w:rPr>
              <w:t>试剂盒</w:t>
            </w:r>
          </w:p>
        </w:tc>
        <w:tc>
          <w:tcPr>
            <w:tcW w:w="185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E2A5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2800</w:t>
            </w:r>
          </w:p>
        </w:tc>
        <w:tc>
          <w:tcPr>
            <w:tcW w:w="9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4A636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sz w:val="22"/>
                <w:szCs w:val="22"/>
                <w:highlight w:val="none"/>
                <w:shd w:val="clear" w:color="auto" w:fill="auto"/>
                <w:lang w:val="en-US" w:eastAsia="zh-CN"/>
              </w:rPr>
              <w:t>1</w:t>
            </w:r>
          </w:p>
        </w:tc>
        <w:tc>
          <w:tcPr>
            <w:tcW w:w="70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BAF9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auto"/>
                <w:kern w:val="2"/>
                <w:sz w:val="22"/>
                <w:szCs w:val="22"/>
                <w:highlight w:val="none"/>
                <w:u w:val="none"/>
                <w:shd w:val="clear" w:color="auto" w:fill="auto"/>
                <w:lang w:val="en-US" w:eastAsia="zh-CN" w:bidi="ar"/>
              </w:rPr>
            </w:pPr>
            <w:r>
              <w:rPr>
                <w:rFonts w:hint="eastAsia" w:ascii="仿宋" w:hAnsi="仿宋" w:eastAsia="仿宋" w:cs="仿宋"/>
                <w:b/>
                <w:bCs/>
                <w:i w:val="0"/>
                <w:iCs w:val="0"/>
                <w:color w:val="auto"/>
                <w:kern w:val="2"/>
                <w:sz w:val="22"/>
                <w:szCs w:val="22"/>
                <w:highlight w:val="none"/>
                <w:u w:val="none"/>
                <w:shd w:val="clear" w:color="auto" w:fill="auto"/>
                <w:lang w:val="en-US" w:eastAsia="zh-CN" w:bidi="ar"/>
              </w:rPr>
              <w:t>盒</w:t>
            </w:r>
          </w:p>
        </w:tc>
        <w:tc>
          <w:tcPr>
            <w:tcW w:w="18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70552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按需求</w:t>
            </w:r>
          </w:p>
        </w:tc>
      </w:tr>
    </w:tbl>
    <w:p w14:paraId="3ED4B764">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4A0A30C8">
      <w:pPr>
        <w:pStyle w:val="11"/>
        <w:jc w:val="left"/>
        <w:outlineLvl w:val="1"/>
        <w:rPr>
          <w:rFonts w:hint="eastAsia" w:ascii="仿宋" w:hAnsi="仿宋" w:eastAsia="仿宋" w:cs="仿宋"/>
          <w:b/>
          <w:sz w:val="28"/>
          <w:highlight w:val="none"/>
        </w:rPr>
      </w:pPr>
      <w:r>
        <w:rPr>
          <w:rFonts w:hint="eastAsia" w:ascii="仿宋" w:hAnsi="仿宋" w:eastAsia="仿宋" w:cs="仿宋"/>
          <w:b/>
          <w:sz w:val="28"/>
          <w:highlight w:val="none"/>
        </w:rPr>
        <w:t>3.2.技术要求</w:t>
      </w:r>
    </w:p>
    <w:p w14:paraId="4453AA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一、抗体类产品技术要求</w:t>
      </w:r>
    </w:p>
    <w:p w14:paraId="4CDAC9C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★1.所有抗体（PNKD、CD86、CD163、CD206、IL-10、TGF-β、HIF-1α、HK2、LDHA、PD-L1、β-actin等）须为进口或国内知名品牌，具有明确的货号及批次号。</w:t>
      </w:r>
    </w:p>
    <w:p w14:paraId="6DFA7B6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★2.抗体纯度≥90%，需提供质检报告或COA证书。</w:t>
      </w:r>
    </w:p>
    <w:p w14:paraId="10A6C96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★3.抗体规格不低于100μL/支，浓度需满足Western Blot、免疫荧光等实验要求。</w:t>
      </w:r>
    </w:p>
    <w:p w14:paraId="7AD3CB0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▲4.抗体应用范围需涵盖WB、IF、IHC中至少2种。</w:t>
      </w:r>
    </w:p>
    <w:p w14:paraId="6EA21D8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▲5.抗体种属反应性需包含人（Hunman）。</w:t>
      </w:r>
    </w:p>
    <w:p w14:paraId="725684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kern w:val="2"/>
          <w:sz w:val="22"/>
          <w:szCs w:val="22"/>
          <w:shd w:val="clear" w:fill="auto"/>
          <w:lang w:val="en-US" w:eastAsia="zh-CN" w:bidi="ar-SA"/>
        </w:rPr>
        <w:t>6.</w:t>
      </w:r>
      <w:r>
        <w:rPr>
          <w:rFonts w:hint="eastAsia" w:ascii="仿宋" w:hAnsi="仿宋" w:eastAsia="仿宋" w:cs="仿宋"/>
          <w:color w:val="auto"/>
          <w:sz w:val="22"/>
          <w:szCs w:val="22"/>
          <w:highlight w:val="none"/>
          <w:shd w:val="clear" w:color="auto" w:fill="auto"/>
          <w:lang w:val="en-US" w:eastAsia="zh-CN"/>
        </w:rPr>
        <w:t>提供抗体保存条件说明及有效期证明，有效期不低于12个月。</w:t>
      </w:r>
    </w:p>
    <w:p w14:paraId="38A66C5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二、病毒类产品技术要求</w:t>
      </w:r>
    </w:p>
    <w:p w14:paraId="15A811A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★1.PNKD过表达慢病毒、shRNA需提供质检报告及图谱。</w:t>
      </w:r>
    </w:p>
    <w:p w14:paraId="45B7D78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★2.需提供病毒滴度检测报告。</w:t>
      </w:r>
    </w:p>
    <w:p w14:paraId="59CABB2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▲3.病毒需经过严格的质量检测，无支原体、内毒素污染。</w:t>
      </w:r>
    </w:p>
    <w:p w14:paraId="6D0E871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4.提供详细的使用说明书及技术支持。</w:t>
      </w:r>
    </w:p>
    <w:p w14:paraId="60AACB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三、细胞培养试剂技术要求</w:t>
      </w:r>
    </w:p>
    <w:p w14:paraId="29F1D06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★1.THP-1完全培养基、RPMI-1640培养基、胎牛血清等试剂应附带质检报告。</w:t>
      </w:r>
    </w:p>
    <w:p w14:paraId="77E8599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★2.培养基需提供无菌检测报告。</w:t>
      </w:r>
    </w:p>
    <w:p w14:paraId="6B3B7C6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▲3.所有细胞培养试剂有效期不低于6个月。</w:t>
      </w:r>
    </w:p>
    <w:p w14:paraId="5B8969C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4.试剂保存运输需符合冷链要求（2-8℃或-20℃）。</w:t>
      </w:r>
    </w:p>
    <w:p w14:paraId="1E8CB4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四、Western Blot相关试剂技术要求</w:t>
      </w:r>
    </w:p>
    <w:p w14:paraId="1A381B3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★1.PVDF膜孔径0.45μm，需适用于蛋白转印。</w:t>
      </w:r>
    </w:p>
    <w:p w14:paraId="4D7EFA2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★2.ECL化学发光底物灵敏度需达到pg级。</w:t>
      </w:r>
    </w:p>
    <w:p w14:paraId="2ACDB35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▲3.蛋白Marker分子量范围需涵盖10-250 kDa。</w:t>
      </w:r>
    </w:p>
    <w:p w14:paraId="63FFECB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▲4.快速配胶试剂盒需在30分钟内完成凝胶制备。</w:t>
      </w:r>
    </w:p>
    <w:p w14:paraId="0B56C80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5.所有试剂需提供详细的操作说明。</w:t>
      </w:r>
    </w:p>
    <w:p w14:paraId="172906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五、技术服务要求</w:t>
      </w:r>
    </w:p>
    <w:p w14:paraId="2BDFB5E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★1.Elisa试剂盒为快检试剂盒，检测时间≤2小时，由采购人提供实验标本，中标方需按标准操作规范独立完成切片、染色、全景扫描等技术操作，并向采购方交付合格的数据结果。</w:t>
      </w:r>
    </w:p>
    <w:p w14:paraId="7470A24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▲2.供应商需提供实验protocol及标准操作流程。</w:t>
      </w:r>
    </w:p>
    <w:p w14:paraId="1F6AF2C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3.供应商需在接到采购人技术咨询后24小时内响应。</w:t>
      </w:r>
    </w:p>
    <w:p w14:paraId="1A6594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七、耗材类技术要求</w:t>
      </w:r>
    </w:p>
    <w:p w14:paraId="549C44C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★1.所有耗材需为一次性使用，无菌包装。</w:t>
      </w:r>
    </w:p>
    <w:p w14:paraId="177A057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▲2.吸头需无DNA酶、RNA酶污染。</w:t>
      </w:r>
    </w:p>
    <w:p w14:paraId="595BEEF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▲3.离心管、培养板等需耐受高速离心（≥12000rpm）。</w:t>
      </w:r>
    </w:p>
    <w:p w14:paraId="18BE068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4.细胞培养类耗材需经过TC处理，适合细胞贴壁生长。</w:t>
      </w:r>
    </w:p>
    <w:p w14:paraId="68571C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八、包装及储运要求</w:t>
      </w:r>
    </w:p>
    <w:p w14:paraId="6D897D8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★1.需冷链运输的试剂需配备冰袋或干冰，确保运输过程中温度符合要求。</w:t>
      </w:r>
    </w:p>
    <w:p w14:paraId="7363F6F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★2.所有产品包装完好，标识清晰，包含产品名称、批号、有效期、储存条件等信息。</w:t>
      </w:r>
    </w:p>
    <w:p w14:paraId="57EF3D2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3.易碎品需有防震包装措施。</w:t>
      </w:r>
    </w:p>
    <w:p w14:paraId="61CC9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九、其它要求</w:t>
      </w:r>
    </w:p>
    <w:p w14:paraId="67344E3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★1.Elisa试剂盒为快检试剂盒（2小时），由采购人提供实验标本，中标方需按标准操作规范独立完成切片、染色、全景扫描等技术操作，并向采购方交付合格的数据结果；</w:t>
      </w:r>
    </w:p>
    <w:p w14:paraId="69E94D4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▲2.组织包埋/切片能根据标本的实际情况进行；</w:t>
      </w:r>
    </w:p>
    <w:p w14:paraId="4847D2D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★3.HE染色、免疫荧光必须提供全景扫描结果，由采购人提供实验标本，中标方需按标准操作规范独立完成切片、染色、全景扫描等技术操作，并向采购方交付合格的数据结果。</w:t>
      </w:r>
    </w:p>
    <w:p w14:paraId="49BBC9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★十、商务要求</w:t>
      </w:r>
    </w:p>
    <w:p w14:paraId="4EE16629">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1.交货期及地点</w:t>
      </w:r>
    </w:p>
    <w:p w14:paraId="4EBFBA1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（1）交货期：每次配送时间必须严格按照采购人配送通知执行，中标人应于收到通知后2小时内响应。急用耗材的配送时间不应超过4小时，一般耗材原则上的配送时间不应超过2个工作日。</w:t>
      </w:r>
    </w:p>
    <w:p w14:paraId="1F86430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（2）交货地点：内江市第一人民医院院内。</w:t>
      </w:r>
    </w:p>
    <w:p w14:paraId="678163B4">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2.付款方法和条件</w:t>
      </w:r>
    </w:p>
    <w:p w14:paraId="6B56C04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（1）结算方式：货款按实结算且由双方协商决定。</w:t>
      </w:r>
    </w:p>
    <w:p w14:paraId="4EFAF51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（2）成交价格包含成本、运输、包装、培训、配送、伴随服务、税费及其他附加费用。</w:t>
      </w:r>
    </w:p>
    <w:p w14:paraId="6544378F">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3.耗材质量保证</w:t>
      </w:r>
    </w:p>
    <w:p w14:paraId="7B225E9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（1）中标人须提供原厂生产的未曾使用过的、全新的合格的货品（含配套配件等），表面无划伤、无破损痕迹，且权属清楚，不得侵害他人的合法权利。</w:t>
      </w:r>
    </w:p>
    <w:p w14:paraId="7032304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44AA710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2044516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14A202E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BA8604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（6）中标人保证所供耗材有效期不低于1年，自通过最终验收之日起，确保采购人在使用耗材的过程中安全、有效。</w:t>
      </w:r>
    </w:p>
    <w:p w14:paraId="282CFE6F">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4.验收</w:t>
      </w:r>
    </w:p>
    <w:p w14:paraId="3664638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70C3AEB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3FE384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7FD3152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（4）其他未尽事宜严格按照《财政部关于进一步加强政府采购需求和履约验收管理的指导意见》（财库〔2016〕205号）的要求进行。</w:t>
      </w:r>
    </w:p>
    <w:p w14:paraId="02C8DE5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5.售后服务</w:t>
      </w:r>
    </w:p>
    <w:p w14:paraId="09FA911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要求中标人必须严格按照招标文件要求和投标文件中的承诺提供配送服务。如果配送的耗材规格、包装等信息与中标产品的规格、包装等信息不一致并不同意更换的，或配送的医用耗材和中标产品不一致的，采购人有权终止合同。</w:t>
      </w:r>
    </w:p>
    <w:p w14:paraId="5A48BE1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（2）要求中标人指派专人负责与采购人联系售后服务事宜；在投标文件中列明售后联系人及联系电话。</w:t>
      </w:r>
    </w:p>
    <w:p w14:paraId="3333BAC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D83C18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（4）耗材临近失效期，采购人提前三个月向中标人提出更换，中标人须在耗材失效前一个月更换完毕，不得以任何理由进行推诿。</w:t>
      </w:r>
    </w:p>
    <w:p w14:paraId="5FE4100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（5）中标人必须随货提供有关合法有效的手续（包括但不限于）：</w:t>
      </w:r>
    </w:p>
    <w:p w14:paraId="5637638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①经销商获得的委托授权书（逐级）；</w:t>
      </w:r>
    </w:p>
    <w:p w14:paraId="4BA9FF0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②主要产品所涉及逐级授权经销商的企业法人营业执照。</w:t>
      </w:r>
    </w:p>
    <w:p w14:paraId="1B09032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③采购人要求提供的相关资料。</w:t>
      </w:r>
    </w:p>
    <w:p w14:paraId="0420185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要求进行挂网采购，且挂网采购价格不应高于联动参考价、该产品上月末全省医药机构最低采购价或采购成交价中的任一价格。经采购人、中标人双方商议后，若因中标人或厂家原因无法按上述要求执行的，则采购人可以解除与中标人在成交合同中对该产品的采购相关约定。</w:t>
      </w:r>
    </w:p>
    <w:p w14:paraId="164176CA">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 xml:space="preserve">6.包装和运输 </w:t>
      </w:r>
    </w:p>
    <w:p w14:paraId="337886A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105A484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 xml:space="preserve">（2）供应商应当按照约定的方式交付标的物。对于包装方式没有约定或者约定不明确的，应当按照通用的方式包装；没有通用方式的，应当采取足以保护标的物且有利于节约资源，保护生态环境的包装方式。 </w:t>
      </w:r>
    </w:p>
    <w:p w14:paraId="5985741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（3）本次采购的标的物需要运输，供应商在合同约定的时间内将标的物运输至合同约定地点。</w:t>
      </w:r>
    </w:p>
    <w:p w14:paraId="34C37F4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7.知识产权、保密及样品处置要求</w:t>
      </w:r>
    </w:p>
    <w:p w14:paraId="6989B86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知识产权归属：采购人提供的所有原始生物样本（如组织、细胞等）、实验设计方案，以及中标人基于采购人样本所产生的全部检测结果、原始数据、分析报告、全景扫描图像（包括HE染色、免疫荧光等）、高清电镜图片等，其全部知识产权（包括但不限于发表权、署名权、专利申请权等）及相关衍生权益均绝对归采购人单独所有。</w:t>
      </w:r>
    </w:p>
    <w:p w14:paraId="2AF06E8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保密义务：中标人对在服务过程中接触或知悉的采购人科研课题信息、样本信息及得出的所有实验数据负有严格的保密义务。未经采购人事先书面许可，中标人不得以任何形式（包括但不限于公开发表论文、学术交流、商业宣传海报、录入商业数据库等）向任何第三方披露、泄露、转让，也不得用于中标人自身的内部研发或二次分析。该保密义务不因本合同的终止而解除。否则，由此造成的一切损失均由中标人承担。</w:t>
      </w:r>
    </w:p>
    <w:p w14:paraId="1F6386F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（3）剩余样品处置（防范截留与滥用）：针对各批次检测或全流程服务结束后所剩余的原始生物标本、组织包埋块、切片及其他实验衍生物，中标人严禁擅自截留、买卖或用于其他任何未经采购人授权的用途。</w:t>
      </w:r>
    </w:p>
    <w:p w14:paraId="26C9E95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（4）样品处置操作规范及违约责任</w:t>
      </w:r>
    </w:p>
    <w:p w14:paraId="0E455D9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① 清点与报告：合同终止后15个工作日内，中标人应对全部剩余样品进行分类清理、登记造册，并向采购人提交书面处置申请。</w:t>
      </w:r>
    </w:p>
    <w:p w14:paraId="2DBD8E6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② 移交或销毁：采购人有权要求中标人将剩余样品全部移交至采购人指定地址（包装及运输费用由中标人承担），或在中标人监督下进行无害化销毁。销毁过程须全程录像或拍照，并由双方签字确认销毁记录。</w:t>
      </w:r>
    </w:p>
    <w:p w14:paraId="4913D03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③ 违规处理：中标人若擅自截留、转移、复制或挪用剩余样品，采购人有权要求中标人支付采购预算30%的违约金，并赔偿由此造成的一切损失；情节严重者，采购人将依法追究其法律责任。</w:t>
      </w:r>
    </w:p>
    <w:p w14:paraId="166FE98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④ 存续义务：本条款的样品处置义务不因合同的终止而解除。</w:t>
      </w:r>
    </w:p>
    <w:p w14:paraId="2B141E9A">
      <w:pPr>
        <w:pStyle w:val="11"/>
        <w:spacing w:line="240" w:lineRule="auto"/>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w:t>
      </w:r>
      <w:r>
        <w:rPr>
          <w:rFonts w:hint="eastAsia" w:ascii="仿宋" w:hAnsi="仿宋" w:eastAsia="仿宋" w:cs="仿宋"/>
          <w:b/>
          <w:sz w:val="28"/>
          <w:highlight w:val="none"/>
          <w:lang w:val="en-US" w:eastAsia="zh-CN"/>
        </w:rPr>
        <w:t>3</w:t>
      </w:r>
      <w:r>
        <w:rPr>
          <w:rFonts w:hint="eastAsia" w:ascii="仿宋" w:hAnsi="仿宋" w:eastAsia="仿宋" w:cs="仿宋"/>
          <w:b/>
          <w:sz w:val="28"/>
          <w:highlight w:val="none"/>
        </w:rPr>
        <w:t>.其他要求</w:t>
      </w:r>
    </w:p>
    <w:p w14:paraId="17DC5BEB">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一、违约责任与解决争议的方法：</w:t>
      </w:r>
    </w:p>
    <w:p w14:paraId="6634336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1.违约责任</w:t>
      </w:r>
    </w:p>
    <w:p w14:paraId="29F51BE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（1）中标人逾期15日内不能提供采购人所需耗材的，应向采购人每日支付该批次货款千分之三的违约金。</w:t>
      </w:r>
    </w:p>
    <w:p w14:paraId="3D81AEC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（2）中标人逾期15日及以上不能交付以上产品的或不履行其主要合同义务的，视同不能供货，须向采购人支付该批次货款的10%的违约金，同时采购人可以单方面解除采购合同。</w:t>
      </w:r>
    </w:p>
    <w:p w14:paraId="64704DA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中标人擅自变更、中止、终止、解除合同的，应按采购预算金额的30%支付违约金，同时采购人有权单方解除合同。</w:t>
      </w:r>
    </w:p>
    <w:p w14:paraId="33F214F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（3）若因中标人原因造成采购人被监管部门通报三次及以上的或者造成采购人违规采购，采购人有权单方面解除采购合同。同时，采购人有权要求中标人支付该批货物价款20%的违约金。</w:t>
      </w:r>
    </w:p>
    <w:p w14:paraId="368A588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补足。</w:t>
      </w:r>
    </w:p>
    <w:p w14:paraId="3F335BF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即使产品已经验收入库（或安装调试完毕）后，采购人才发现产品为不合格产品的，也视为中标人违约，中标人应当承担本条约定的责任。同时采购人有权退回库存产品。</w:t>
      </w:r>
    </w:p>
    <w:p w14:paraId="7B6CB04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（5）若根据法律规定或本协议约定产生采购人退、换货或拒绝收货情形，由中标人承担退换货产生的各项税、费或其他支出。</w:t>
      </w:r>
    </w:p>
    <w:p w14:paraId="2AC1DE5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（6）中标人不能保证及时供货，除应当向采购人承担违约责任外，采购人仍有权单方面解除采购合同。</w:t>
      </w:r>
    </w:p>
    <w:p w14:paraId="6122FD8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（7）因中标人提供的产品不合格造成采购人或第三人人身损害或财产损失的，由中标人承担赔偿责任。</w:t>
      </w:r>
    </w:p>
    <w:p w14:paraId="31538B7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2.解决合同纠纷的方式</w:t>
      </w:r>
    </w:p>
    <w:p w14:paraId="68C78B4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32B706B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1613D70E">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left"/>
        <w:textAlignment w:val="auto"/>
        <w:outlineLvl w:val="2"/>
        <w:rPr>
          <w:rFonts w:hint="eastAsia" w:ascii="仿宋" w:hAnsi="仿宋" w:eastAsia="仿宋" w:cs="仿宋"/>
          <w:b/>
          <w:bCs/>
          <w:kern w:val="0"/>
          <w:sz w:val="24"/>
          <w:szCs w:val="24"/>
          <w:highlight w:val="none"/>
          <w:lang w:val="en-US" w:eastAsia="zh-CN"/>
        </w:rPr>
      </w:pPr>
      <w:r>
        <w:rPr>
          <w:rFonts w:hint="eastAsia" w:ascii="仿宋" w:hAnsi="仿宋" w:eastAsia="仿宋" w:cs="仿宋"/>
          <w:b/>
          <w:bCs/>
          <w:kern w:val="0"/>
          <w:sz w:val="24"/>
          <w:szCs w:val="24"/>
          <w:highlight w:val="none"/>
          <w:lang w:val="en-US" w:eastAsia="zh-CN"/>
        </w:rPr>
        <w:t>二、缔约过失责任</w:t>
      </w:r>
    </w:p>
    <w:p w14:paraId="12E366F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default" w:ascii="仿宋" w:hAnsi="仿宋" w:eastAsia="仿宋" w:cs="仿宋"/>
          <w:b w:val="0"/>
          <w:bCs w:val="0"/>
          <w:color w:val="000000"/>
          <w:kern w:val="0"/>
          <w:sz w:val="22"/>
          <w:szCs w:val="22"/>
          <w:highlight w:val="none"/>
          <w:u w:val="none"/>
          <w:lang w:val="en-US" w:eastAsia="zh-CN" w:bidi="ar"/>
        </w:rPr>
        <w:t>1</w:t>
      </w:r>
      <w:r>
        <w:rPr>
          <w:rFonts w:hint="eastAsia" w:ascii="仿宋" w:hAnsi="仿宋" w:eastAsia="仿宋" w:cs="仿宋"/>
          <w:b w:val="0"/>
          <w:bCs w:val="0"/>
          <w:color w:val="000000"/>
          <w:kern w:val="0"/>
          <w:sz w:val="22"/>
          <w:szCs w:val="22"/>
          <w:highlight w:val="none"/>
          <w:u w:val="none"/>
          <w:lang w:val="en-US" w:eastAsia="zh-Hans" w:bidi="ar"/>
        </w:rPr>
        <w:t>.</w:t>
      </w:r>
      <w:r>
        <w:rPr>
          <w:rFonts w:hint="eastAsia" w:ascii="仿宋" w:hAnsi="仿宋" w:eastAsia="仿宋" w:cs="仿宋"/>
          <w:b w:val="0"/>
          <w:bCs w:val="0"/>
          <w:color w:val="000000"/>
          <w:kern w:val="0"/>
          <w:sz w:val="22"/>
          <w:szCs w:val="22"/>
          <w:highlight w:val="none"/>
          <w:u w:val="none"/>
          <w:lang w:val="en-US" w:eastAsia="zh-CN" w:bidi="ar"/>
        </w:rPr>
        <w:t>供应商无正当理由未能在规定时间内与采购人签订合同的，需向采购人支付中标（成交）金额20%的赔偿金。赔偿金不足以弥补采购人全部损失的，还应赔偿采购人全部损失。</w:t>
      </w:r>
    </w:p>
    <w:p w14:paraId="39344A6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default" w:ascii="仿宋" w:hAnsi="仿宋" w:eastAsia="仿宋" w:cs="仿宋"/>
          <w:b w:val="0"/>
          <w:bCs w:val="0"/>
          <w:color w:val="000000"/>
          <w:kern w:val="0"/>
          <w:sz w:val="22"/>
          <w:szCs w:val="22"/>
          <w:highlight w:val="none"/>
          <w:u w:val="none"/>
          <w:lang w:val="en-US" w:eastAsia="zh-CN" w:bidi="ar"/>
        </w:rPr>
        <w:t>2</w:t>
      </w:r>
      <w:r>
        <w:rPr>
          <w:rFonts w:hint="eastAsia" w:ascii="仿宋" w:hAnsi="仿宋" w:eastAsia="仿宋" w:cs="仿宋"/>
          <w:b w:val="0"/>
          <w:bCs w:val="0"/>
          <w:color w:val="000000"/>
          <w:kern w:val="0"/>
          <w:sz w:val="22"/>
          <w:szCs w:val="22"/>
          <w:highlight w:val="none"/>
          <w:u w:val="none"/>
          <w:lang w:val="en-US" w:eastAsia="zh-Hans" w:bidi="ar"/>
        </w:rPr>
        <w:t>.</w:t>
      </w:r>
      <w:r>
        <w:rPr>
          <w:rFonts w:hint="eastAsia" w:ascii="仿宋" w:hAnsi="仿宋" w:eastAsia="仿宋" w:cs="仿宋"/>
          <w:b w:val="0"/>
          <w:bCs w:val="0"/>
          <w:color w:val="000000"/>
          <w:kern w:val="0"/>
          <w:sz w:val="22"/>
          <w:szCs w:val="22"/>
          <w:highlight w:val="none"/>
          <w:u w:val="none"/>
          <w:lang w:val="en-US" w:eastAsia="zh-CN" w:bidi="ar"/>
        </w:rPr>
        <w:t>若投标供应商提交的投标(响应)文件存在虚假材料或虚假响应的情况，投标供应商应向采购人支付年度预算（项目预算）金额30%的赔偿金。</w:t>
      </w:r>
    </w:p>
    <w:p w14:paraId="38D3B8FE">
      <w:pPr>
        <w:keepNext w:val="0"/>
        <w:keepLines w:val="0"/>
        <w:pageBreakBefore w:val="0"/>
        <w:widowControl w:val="0"/>
        <w:kinsoku/>
        <w:wordWrap/>
        <w:overflowPunct/>
        <w:topLinePunct w:val="0"/>
        <w:autoSpaceDE/>
        <w:autoSpaceDN/>
        <w:bidi w:val="0"/>
        <w:adjustRightInd/>
        <w:snapToGrid/>
        <w:spacing w:line="288" w:lineRule="auto"/>
        <w:ind w:firstLine="48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4"/>
          <w:szCs w:val="24"/>
          <w:highlight w:val="none"/>
          <w:lang w:val="en-US" w:eastAsia="zh-CN"/>
        </w:rPr>
        <w:t>三、</w:t>
      </w:r>
      <w:r>
        <w:rPr>
          <w:rFonts w:hint="eastAsia" w:ascii="仿宋" w:hAnsi="仿宋" w:eastAsia="仿宋" w:cs="仿宋"/>
          <w:b/>
          <w:bCs/>
          <w:color w:val="auto"/>
          <w:sz w:val="24"/>
          <w:szCs w:val="24"/>
          <w:highlight w:val="none"/>
          <w:shd w:val="clear" w:color="auto" w:fill="auto"/>
        </w:rPr>
        <w:t>合同履行期限</w:t>
      </w:r>
      <w:r>
        <w:rPr>
          <w:rFonts w:hint="eastAsia" w:ascii="仿宋" w:hAnsi="仿宋" w:eastAsia="仿宋" w:cs="仿宋"/>
          <w:b/>
          <w:bCs/>
          <w:color w:val="auto"/>
          <w:sz w:val="24"/>
          <w:szCs w:val="24"/>
          <w:highlight w:val="none"/>
          <w:shd w:val="clear" w:color="auto" w:fill="auto"/>
          <w:lang w:eastAsia="zh-CN"/>
        </w:rPr>
        <w:t>：</w:t>
      </w:r>
      <w:r>
        <w:rPr>
          <w:rFonts w:hint="default" w:ascii="仿宋" w:hAnsi="仿宋" w:eastAsia="仿宋" w:cs="仿宋"/>
          <w:b w:val="0"/>
          <w:bCs w:val="0"/>
          <w:color w:val="000000"/>
          <w:kern w:val="0"/>
          <w:sz w:val="22"/>
          <w:szCs w:val="22"/>
          <w:highlight w:val="none"/>
          <w:u w:val="none"/>
          <w:lang w:val="en-US" w:eastAsia="zh-CN" w:bidi="ar"/>
        </w:rPr>
        <w:t>本项目服务期限为自合同签订之日起3年，或本项目对应的科研课题/实验取得院级（或上级主管部门）出具的《结题验收报告》之日止，</w:t>
      </w:r>
      <w:r>
        <w:rPr>
          <w:rFonts w:hint="eastAsia" w:ascii="仿宋" w:hAnsi="仿宋" w:eastAsia="仿宋" w:cs="仿宋"/>
          <w:b w:val="0"/>
          <w:bCs w:val="0"/>
          <w:color w:val="000000"/>
          <w:kern w:val="0"/>
          <w:sz w:val="22"/>
          <w:szCs w:val="22"/>
          <w:highlight w:val="none"/>
          <w:u w:val="none"/>
          <w:lang w:val="en-US" w:eastAsia="zh-Hans" w:bidi="ar"/>
        </w:rPr>
        <w:t>服务期限的截止时间</w:t>
      </w:r>
      <w:r>
        <w:rPr>
          <w:rFonts w:hint="default" w:ascii="仿宋" w:hAnsi="仿宋" w:eastAsia="仿宋" w:cs="仿宋"/>
          <w:b w:val="0"/>
          <w:bCs w:val="0"/>
          <w:color w:val="000000"/>
          <w:kern w:val="0"/>
          <w:sz w:val="22"/>
          <w:szCs w:val="22"/>
          <w:highlight w:val="none"/>
          <w:u w:val="none"/>
          <w:lang w:val="en-US" w:eastAsia="zh-CN" w:bidi="ar"/>
        </w:rPr>
        <w:t>以先到者为准</w:t>
      </w:r>
      <w:r>
        <w:rPr>
          <w:rFonts w:hint="eastAsia" w:ascii="仿宋" w:hAnsi="仿宋" w:eastAsia="仿宋" w:cs="仿宋"/>
          <w:b w:val="0"/>
          <w:bCs w:val="0"/>
          <w:color w:val="000000"/>
          <w:kern w:val="0"/>
          <w:sz w:val="22"/>
          <w:szCs w:val="22"/>
          <w:highlight w:val="none"/>
          <w:u w:val="none"/>
          <w:lang w:val="en-US" w:eastAsia="zh-CN" w:bidi="ar"/>
        </w:rPr>
        <w:t>。</w:t>
      </w:r>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18D64F9"/>
    <w:rsid w:val="292D60BE"/>
    <w:rsid w:val="2B7F52C5"/>
    <w:rsid w:val="2B995F96"/>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3AD7A2C"/>
    <w:rsid w:val="7A39343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614</Words>
  <Characters>909</Characters>
  <Lines>0</Lines>
  <Paragraphs>0</Paragraphs>
  <TotalTime>0</TotalTime>
  <ScaleCrop>false</ScaleCrop>
  <LinksUpToDate>false</LinksUpToDate>
  <CharactersWithSpaces>930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2026-07-31T08:16:16Z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