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7AEB7">
      <w:pPr>
        <w:pStyle w:val="9"/>
        <w:spacing w:line="336" w:lineRule="auto"/>
        <w:jc w:val="center"/>
        <w:rPr>
          <w:rFonts w:hint="eastAsia" w:ascii="仿宋" w:hAnsi="仿宋" w:eastAsia="仿宋" w:cs="仿宋"/>
          <w:b/>
          <w:sz w:val="36"/>
          <w:szCs w:val="36"/>
          <w:highlight w:val="none"/>
        </w:rPr>
      </w:pPr>
      <w:bookmarkStart w:id="0" w:name="_Toc5499"/>
      <w:bookmarkStart w:id="1" w:name="_Toc31008"/>
      <w:bookmarkStart w:id="2" w:name="_Toc22873"/>
      <w:bookmarkStart w:id="3" w:name="_Toc21339_WPSOffice_Level1"/>
      <w:bookmarkStart w:id="4" w:name="_Toc32176"/>
      <w:r>
        <w:rPr>
          <w:rFonts w:hint="eastAsia" w:ascii="仿宋" w:hAnsi="仿宋" w:eastAsia="仿宋" w:cs="仿宋"/>
          <w:b/>
          <w:bCs/>
          <w:sz w:val="32"/>
          <w:szCs w:val="32"/>
          <w:highlight w:val="none"/>
        </w:rPr>
        <w:t xml:space="preserve">第五章  </w:t>
      </w:r>
      <w:bookmarkEnd w:id="0"/>
      <w:bookmarkEnd w:id="1"/>
      <w:bookmarkEnd w:id="2"/>
      <w:bookmarkEnd w:id="3"/>
      <w:r>
        <w:rPr>
          <w:rFonts w:hint="eastAsia" w:ascii="仿宋" w:hAnsi="仿宋" w:eastAsia="仿宋" w:cs="仿宋"/>
          <w:b/>
          <w:bCs/>
          <w:sz w:val="32"/>
          <w:szCs w:val="32"/>
          <w:highlight w:val="none"/>
        </w:rPr>
        <w:t>技术、服务及其他要求</w:t>
      </w:r>
      <w:bookmarkEnd w:id="4"/>
    </w:p>
    <w:p w14:paraId="7570FD2D">
      <w:pPr>
        <w:spacing w:line="240" w:lineRule="auto"/>
        <w:ind w:firstLine="480" w:firstLineChars="200"/>
        <w:rPr>
          <w:rFonts w:hint="eastAsia" w:ascii="仿宋" w:hAnsi="仿宋" w:eastAsia="仿宋" w:cs="仿宋"/>
          <w:sz w:val="24"/>
          <w:szCs w:val="24"/>
          <w:highlight w:val="none"/>
          <w:lang w:eastAsia="zh-CN"/>
        </w:rPr>
      </w:pPr>
    </w:p>
    <w:p w14:paraId="05526A47">
      <w:pPr>
        <w:spacing w:line="240" w:lineRule="auto"/>
        <w:ind w:firstLine="480" w:firstLineChars="200"/>
        <w:rPr>
          <w:rFonts w:hint="eastAsia" w:ascii="仿宋" w:hAnsi="仿宋" w:eastAsia="仿宋" w:cs="仿宋"/>
          <w:sz w:val="24"/>
          <w:szCs w:val="24"/>
          <w:highlight w:val="none"/>
          <w:lang w:eastAsia="zh-CN"/>
        </w:rPr>
      </w:pPr>
    </w:p>
    <w:p w14:paraId="4A3EC35E">
      <w:pPr>
        <w:spacing w:line="240" w:lineRule="auto"/>
        <w:ind w:firstLine="480" w:firstLineChars="200"/>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eastAsia="zh-CN"/>
        </w:rPr>
        <w:t>须知：本部分</w:t>
      </w:r>
      <w:r>
        <w:rPr>
          <w:rFonts w:hint="eastAsia" w:ascii="仿宋" w:hAnsi="仿宋" w:eastAsia="仿宋" w:cs="仿宋"/>
          <w:sz w:val="24"/>
          <w:szCs w:val="24"/>
          <w:highlight w:val="none"/>
        </w:rPr>
        <w:t>标注“★”的条款为本项目的实质性条款，</w:t>
      </w:r>
      <w:r>
        <w:rPr>
          <w:rFonts w:hint="eastAsia" w:ascii="仿宋" w:hAnsi="仿宋" w:eastAsia="仿宋" w:cs="仿宋"/>
          <w:sz w:val="24"/>
          <w:szCs w:val="24"/>
          <w:highlight w:val="none"/>
          <w:lang w:val="en-US" w:eastAsia="zh-CN"/>
        </w:rPr>
        <w:t>供应商</w:t>
      </w:r>
      <w:r>
        <w:rPr>
          <w:rFonts w:hint="eastAsia" w:ascii="仿宋" w:hAnsi="仿宋" w:eastAsia="仿宋" w:cs="仿宋"/>
          <w:sz w:val="24"/>
          <w:szCs w:val="24"/>
          <w:highlight w:val="none"/>
        </w:rPr>
        <w:t>不满足的，将按照无效</w:t>
      </w:r>
      <w:r>
        <w:rPr>
          <w:rFonts w:hint="eastAsia" w:ascii="仿宋" w:hAnsi="仿宋" w:eastAsia="仿宋" w:cs="仿宋"/>
          <w:sz w:val="24"/>
          <w:szCs w:val="24"/>
          <w:highlight w:val="none"/>
          <w:lang w:eastAsia="zh-CN"/>
        </w:rPr>
        <w:t>响应</w:t>
      </w:r>
      <w:r>
        <w:rPr>
          <w:rFonts w:hint="eastAsia" w:ascii="仿宋" w:hAnsi="仿宋" w:eastAsia="仿宋" w:cs="仿宋"/>
          <w:sz w:val="24"/>
          <w:szCs w:val="24"/>
          <w:highlight w:val="none"/>
        </w:rPr>
        <w:t>处理</w:t>
      </w:r>
    </w:p>
    <w:p w14:paraId="4D160B49">
      <w:pPr>
        <w:spacing w:line="360" w:lineRule="auto"/>
        <w:rPr>
          <w:rFonts w:hint="eastAsia" w:ascii="仿宋" w:hAnsi="仿宋" w:eastAsia="仿宋" w:cs="仿宋"/>
          <w:b/>
          <w:bCs/>
          <w:sz w:val="32"/>
          <w:szCs w:val="28"/>
          <w:highlight w:val="none"/>
          <w:lang w:eastAsia="zh-CN"/>
        </w:rPr>
      </w:pPr>
      <w:r>
        <w:rPr>
          <w:rFonts w:hint="eastAsia" w:ascii="仿宋" w:hAnsi="仿宋" w:eastAsia="仿宋" w:cs="仿宋"/>
          <w:b w:val="0"/>
          <w:bCs w:val="0"/>
          <w:snapToGrid/>
          <w:color w:val="auto"/>
          <w:kern w:val="0"/>
          <w:sz w:val="30"/>
          <w:szCs w:val="30"/>
          <w:highlight w:val="none"/>
          <w:lang w:val="en-US" w:eastAsia="zh-CN" w:bidi="ar-SA"/>
        </w:rPr>
        <w:t>★</w:t>
      </w:r>
      <w:r>
        <w:rPr>
          <w:rFonts w:hint="eastAsia" w:ascii="仿宋" w:hAnsi="仿宋" w:eastAsia="仿宋" w:cs="仿宋"/>
          <w:b/>
          <w:bCs/>
          <w:sz w:val="30"/>
          <w:szCs w:val="30"/>
          <w:highlight w:val="none"/>
          <w:lang w:val="en-US" w:eastAsia="zh-CN"/>
        </w:rPr>
        <w:t>一、标的情况</w:t>
      </w:r>
    </w:p>
    <w:tbl>
      <w:tblPr>
        <w:tblStyle w:val="6"/>
        <w:tblW w:w="0" w:type="auto"/>
        <w:tblInd w:w="6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8"/>
        <w:gridCol w:w="1487"/>
        <w:gridCol w:w="1650"/>
        <w:gridCol w:w="975"/>
        <w:gridCol w:w="1363"/>
        <w:gridCol w:w="2132"/>
      </w:tblGrid>
      <w:tr w14:paraId="7C01A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6" w:hRule="atLeast"/>
          <w:tblHeader/>
        </w:trPr>
        <w:tc>
          <w:tcPr>
            <w:tcW w:w="73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4999FE2">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序号</w:t>
            </w:r>
          </w:p>
        </w:tc>
        <w:tc>
          <w:tcPr>
            <w:tcW w:w="148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89653D8">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标的名称</w:t>
            </w:r>
          </w:p>
        </w:tc>
        <w:tc>
          <w:tcPr>
            <w:tcW w:w="165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F0D859A">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单价（元/年）</w:t>
            </w:r>
          </w:p>
        </w:tc>
        <w:tc>
          <w:tcPr>
            <w:tcW w:w="97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9B7A554">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136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40C2B3">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计量单位</w:t>
            </w:r>
          </w:p>
        </w:tc>
        <w:tc>
          <w:tcPr>
            <w:tcW w:w="21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A80F413">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最高限价（元/年）</w:t>
            </w:r>
          </w:p>
        </w:tc>
      </w:tr>
      <w:tr w14:paraId="4F018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blHeader/>
        </w:trPr>
        <w:tc>
          <w:tcPr>
            <w:tcW w:w="73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00A3CB5">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1487"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F53BB5">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内江市第一人民医院生活污水、放射性污水、污水废气及锅炉废气监测服务采购项目</w:t>
            </w:r>
          </w:p>
        </w:tc>
        <w:tc>
          <w:tcPr>
            <w:tcW w:w="1650"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BAF222C">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83000.00</w:t>
            </w:r>
          </w:p>
        </w:tc>
        <w:tc>
          <w:tcPr>
            <w:tcW w:w="975"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4322B7C">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1</w:t>
            </w:r>
          </w:p>
        </w:tc>
        <w:tc>
          <w:tcPr>
            <w:tcW w:w="1363"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FE4B8CA">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项</w:t>
            </w:r>
          </w:p>
        </w:tc>
        <w:tc>
          <w:tcPr>
            <w:tcW w:w="21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1297FB1">
            <w:pPr>
              <w:spacing w:line="400" w:lineRule="exact"/>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83000.00</w:t>
            </w:r>
          </w:p>
        </w:tc>
      </w:tr>
    </w:tbl>
    <w:p w14:paraId="10B7FFDD">
      <w:pPr>
        <w:spacing w:line="240" w:lineRule="auto"/>
        <w:rPr>
          <w:rFonts w:hint="eastAsia" w:ascii="仿宋" w:hAnsi="仿宋" w:eastAsia="仿宋" w:cs="仿宋"/>
          <w:b/>
          <w:bCs/>
          <w:sz w:val="30"/>
          <w:szCs w:val="30"/>
          <w:highlight w:val="none"/>
        </w:rPr>
      </w:pPr>
      <w:r>
        <w:rPr>
          <w:rFonts w:hint="eastAsia" w:ascii="仿宋" w:hAnsi="仿宋" w:eastAsia="仿宋" w:cs="仿宋"/>
          <w:b w:val="0"/>
          <w:bCs w:val="0"/>
          <w:snapToGrid/>
          <w:color w:val="auto"/>
          <w:kern w:val="0"/>
          <w:sz w:val="30"/>
          <w:szCs w:val="30"/>
          <w:highlight w:val="none"/>
          <w:lang w:val="en-US" w:eastAsia="zh-CN" w:bidi="ar-SA"/>
        </w:rPr>
        <w:t>★</w:t>
      </w:r>
      <w:r>
        <w:rPr>
          <w:rFonts w:hint="eastAsia" w:ascii="仿宋" w:hAnsi="仿宋" w:eastAsia="仿宋" w:cs="仿宋"/>
          <w:b/>
          <w:bCs/>
          <w:sz w:val="30"/>
          <w:szCs w:val="30"/>
          <w:highlight w:val="none"/>
          <w:lang w:val="en-US" w:eastAsia="zh-CN"/>
        </w:rPr>
        <w:t>二、技术服务要求</w:t>
      </w:r>
    </w:p>
    <w:p w14:paraId="517AB7E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（一）服务要求</w:t>
      </w:r>
    </w:p>
    <w:p w14:paraId="5285DB4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1.服务范围：供应商须对采购人城南院区（内江市市中区沱中路41号）和新院区（内江市市中区汉安大道西段1866号）的综合污水、放射性污水、污水处理站周边废气及锅炉废气（7条烟囱）等提供监测服务。</w:t>
      </w:r>
    </w:p>
    <w:p w14:paraId="18C844F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2.监测内容和要求：按采购人《排污许可证》副本载明的自行监测内容和监测频次进行监测，若采购人《排污许可证》副本内容或《医疗机构水污染物排放标准》（GB 18466-2005）及修改单等强制标准在服务期内有更新，按更新后的要求执行，采购人不支付额外的费用。</w:t>
      </w:r>
      <w:r>
        <w:rPr>
          <w:rFonts w:hint="eastAsia" w:ascii="仿宋" w:hAnsi="仿宋" w:eastAsia="仿宋" w:cs="仿宋"/>
          <w:b/>
          <w:bCs/>
          <w:sz w:val="24"/>
          <w:szCs w:val="24"/>
          <w:highlight w:val="none"/>
          <w:lang w:val="en-US" w:eastAsia="zh-CN"/>
        </w:rPr>
        <w:t>（排污许可证副本相关内容见附件1，实验室监测项目和频次要求见第六章“</w:t>
      </w:r>
      <w:r>
        <w:rPr>
          <w:rFonts w:hint="eastAsia" w:ascii="仿宋" w:hAnsi="仿宋" w:eastAsia="仿宋" w:cs="仿宋"/>
          <w:b/>
          <w:bCs/>
          <w:sz w:val="24"/>
          <w:szCs w:val="24"/>
          <w:highlight w:val="none"/>
        </w:rPr>
        <w:t>实验室检测项目报价表</w:t>
      </w:r>
      <w:r>
        <w:rPr>
          <w:rFonts w:hint="eastAsia" w:ascii="仿宋" w:hAnsi="仿宋" w:eastAsia="仿宋" w:cs="仿宋"/>
          <w:b/>
          <w:bCs/>
          <w:sz w:val="24"/>
          <w:szCs w:val="24"/>
          <w:highlight w:val="none"/>
          <w:lang w:val="en-US" w:eastAsia="zh-CN"/>
        </w:rPr>
        <w:t>”）</w:t>
      </w:r>
    </w:p>
    <w:p w14:paraId="4DB31AB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3.采样要求：供应商须按照监测内容要求定期到医院进行污水、废气等采样监测，所有检测需进行现场取样，样品须在规定的有效期内进行分析检测。供应商虚假采样的由供应商自行承担一切法律和赔偿责任。</w:t>
      </w:r>
    </w:p>
    <w:p w14:paraId="3382DE8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4.检测报告要求：供应商检测后须及时出具合法有效的并带有“CMA”标识的水质、有组织废气、无组织废气检测报告，及时将检测报告上传至排污检测官网系统备案，并向采购人报送检测报告电子和书面文本。</w:t>
      </w:r>
    </w:p>
    <w:p w14:paraId="1FB30FF4">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5.供应商须安排人员每日（全年365天）进行现场巡检，每日需使用便携式仪器对污水处理站臭气浓度、氯气、氨气、甲烷、PH值、悬浮物、COD以及7条锅炉烟囱排放的氮氧化物、二氧化硫、颗粒物浓度、林格曼黑度等手动检测且记录台账，现场巡检每日至少两次，上午及下午上班时间各一次；此台账每周采购人管理人员不定期进行现场抽查，如有缺失或造假，采购人有权单方面扣除三个月的服务费用作为违约金。</w:t>
      </w:r>
    </w:p>
    <w:p w14:paraId="1D8728B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（二）技术标准</w:t>
      </w:r>
    </w:p>
    <w:p w14:paraId="1816EF7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1.服务质量标准：</w:t>
      </w:r>
    </w:p>
    <w:p w14:paraId="18577EC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符合《污水监测技术规范》（HJ91.1-2019）、《医疗机构水污染物排放标准》（GB18466-2005）</w:t>
      </w:r>
      <w:bookmarkStart w:id="5" w:name="OLE_LINK10"/>
      <w:r>
        <w:rPr>
          <w:rFonts w:hint="eastAsia" w:ascii="仿宋" w:hAnsi="仿宋" w:eastAsia="仿宋" w:cs="仿宋"/>
          <w:b w:val="0"/>
          <w:bCs w:val="0"/>
          <w:sz w:val="24"/>
          <w:szCs w:val="24"/>
          <w:highlight w:val="none"/>
          <w:lang w:val="en-US" w:eastAsia="zh-CN"/>
        </w:rPr>
        <w:t>及修改单（正式实施后）</w:t>
      </w:r>
      <w:bookmarkEnd w:id="5"/>
      <w:r>
        <w:rPr>
          <w:rFonts w:hint="eastAsia" w:ascii="仿宋" w:hAnsi="仿宋" w:eastAsia="仿宋" w:cs="仿宋"/>
          <w:b w:val="0"/>
          <w:bCs w:val="0"/>
          <w:sz w:val="24"/>
          <w:szCs w:val="24"/>
          <w:highlight w:val="none"/>
          <w:lang w:val="en-US" w:eastAsia="zh-CN"/>
        </w:rPr>
        <w:t>、《锅炉大气污染物排放标准》（GB 13271-2014）、中华人民共和国国家环境保护标准《排污许可证申请与核发技术规范 医疗机构》（</w:t>
      </w:r>
      <w:bookmarkStart w:id="6" w:name="OLE_LINK7"/>
      <w:r>
        <w:rPr>
          <w:rFonts w:hint="eastAsia" w:ascii="仿宋" w:hAnsi="仿宋" w:eastAsia="仿宋" w:cs="仿宋"/>
          <w:b w:val="0"/>
          <w:bCs w:val="0"/>
          <w:sz w:val="24"/>
          <w:szCs w:val="24"/>
          <w:highlight w:val="none"/>
          <w:lang w:val="en-US" w:eastAsia="zh-CN"/>
        </w:rPr>
        <w:t>HJ1105-2020</w:t>
      </w:r>
      <w:bookmarkEnd w:id="6"/>
      <w:r>
        <w:rPr>
          <w:rFonts w:hint="eastAsia" w:ascii="仿宋" w:hAnsi="仿宋" w:eastAsia="仿宋" w:cs="仿宋"/>
          <w:b w:val="0"/>
          <w:bCs w:val="0"/>
          <w:sz w:val="24"/>
          <w:szCs w:val="24"/>
          <w:highlight w:val="none"/>
          <w:lang w:val="en-US" w:eastAsia="zh-CN"/>
        </w:rPr>
        <w:t>）等国家相关行政主管部门颁布的强制标准、规范。</w:t>
      </w:r>
    </w:p>
    <w:p w14:paraId="2FBC383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2.检测方法及标准：（服务期限内</w:t>
      </w:r>
      <w:r>
        <w:rPr>
          <w:rFonts w:hint="eastAsia" w:ascii="仿宋" w:hAnsi="仿宋" w:eastAsia="仿宋" w:cs="仿宋"/>
          <w:b w:val="0"/>
          <w:bCs w:val="0"/>
          <w:sz w:val="24"/>
          <w:szCs w:val="24"/>
          <w:highlight w:val="none"/>
          <w:lang w:val="en-US" w:eastAsia="zh-Hans"/>
        </w:rPr>
        <w:t>若上述</w:t>
      </w:r>
      <w:r>
        <w:rPr>
          <w:rFonts w:hint="eastAsia" w:ascii="仿宋" w:hAnsi="仿宋" w:eastAsia="仿宋" w:cs="仿宋"/>
          <w:b w:val="0"/>
          <w:bCs w:val="0"/>
          <w:sz w:val="24"/>
          <w:szCs w:val="24"/>
          <w:highlight w:val="none"/>
          <w:lang w:val="en-US" w:eastAsia="zh-CN"/>
        </w:rPr>
        <w:t>相关标准有</w:t>
      </w:r>
      <w:r>
        <w:rPr>
          <w:rFonts w:hint="eastAsia" w:ascii="仿宋" w:hAnsi="仿宋" w:eastAsia="仿宋" w:cs="仿宋"/>
          <w:b w:val="0"/>
          <w:bCs w:val="0"/>
          <w:sz w:val="24"/>
          <w:szCs w:val="24"/>
          <w:highlight w:val="none"/>
          <w:lang w:val="en-US" w:eastAsia="zh-Hans"/>
        </w:rPr>
        <w:t>新标准</w:t>
      </w:r>
      <w:r>
        <w:rPr>
          <w:rFonts w:hint="eastAsia" w:ascii="仿宋" w:hAnsi="仿宋" w:eastAsia="仿宋" w:cs="仿宋"/>
          <w:b w:val="0"/>
          <w:bCs w:val="0"/>
          <w:sz w:val="24"/>
          <w:szCs w:val="24"/>
          <w:highlight w:val="none"/>
          <w:lang w:val="en-US" w:eastAsia="zh-CN"/>
        </w:rPr>
        <w:t>并实施的，按</w:t>
      </w:r>
      <w:r>
        <w:rPr>
          <w:rFonts w:hint="eastAsia" w:ascii="仿宋" w:hAnsi="仿宋" w:eastAsia="仿宋" w:cs="仿宋"/>
          <w:b w:val="0"/>
          <w:bCs w:val="0"/>
          <w:sz w:val="24"/>
          <w:szCs w:val="24"/>
          <w:highlight w:val="none"/>
          <w:lang w:val="en-US" w:eastAsia="zh-Hans"/>
        </w:rPr>
        <w:t>新</w:t>
      </w:r>
      <w:r>
        <w:rPr>
          <w:rFonts w:hint="eastAsia" w:ascii="仿宋" w:hAnsi="仿宋" w:eastAsia="仿宋" w:cs="仿宋"/>
          <w:b w:val="0"/>
          <w:bCs w:val="0"/>
          <w:sz w:val="24"/>
          <w:szCs w:val="24"/>
          <w:highlight w:val="none"/>
          <w:lang w:val="en-US" w:eastAsia="zh-CN"/>
        </w:rPr>
        <w:t>标准执行）</w:t>
      </w:r>
    </w:p>
    <w:p w14:paraId="05311FE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（1）水质色度的测定稀释倍数法GB/T11903-1989；</w:t>
      </w:r>
    </w:p>
    <w:p w14:paraId="5322FD1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（2）水质悬浮物的测定重量法GB/T11901-1989； </w:t>
      </w:r>
    </w:p>
    <w:p w14:paraId="35D2B28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（3）水质五日生化需氧量的测定稀释与接种法HJ505-2009； </w:t>
      </w:r>
    </w:p>
    <w:p w14:paraId="6135999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（4）水质粪大肠菌群的测定多管发酵法和滤膜法HJT347.2-2018、HJT347.1-2018/水质总大肠菌群和粪大肠菌群的测定纸片快速法HJ755-2015； </w:t>
      </w:r>
    </w:p>
    <w:p w14:paraId="0323C4B3">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（5）水质阴离子表面活性剂的测定亚甲蓝分光光度法GB/T7494-1987； </w:t>
      </w:r>
    </w:p>
    <w:p w14:paraId="177C9EA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（6）水质动植物油类的测定红外分光光度法HJ637-2012； </w:t>
      </w:r>
    </w:p>
    <w:p w14:paraId="3EDCFBA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（7）水质化学需氧量的测定重铬酸盐法HJ828-2017；</w:t>
      </w:r>
    </w:p>
    <w:p w14:paraId="4D26606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（8）水质pH值的测定玻璃电极法GB/T6920-1986；</w:t>
      </w:r>
    </w:p>
    <w:p w14:paraId="1B632BF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（9）环境空气和废气臭气的测定三点比较式臭袋法HJ1262-2022；</w:t>
      </w:r>
    </w:p>
    <w:p w14:paraId="31086948">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（10）空气质量氨的测定离子选择电极法GB/T14669-1993 ；</w:t>
      </w:r>
    </w:p>
    <w:p w14:paraId="7EC5A177">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（11）固定污染源废气硫化氢的测定亚甲基蓝分光光度法HJ1388—2024；</w:t>
      </w:r>
    </w:p>
    <w:p w14:paraId="60074AF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（12）环境空气中甲烷的测定气相色谱法</w:t>
      </w:r>
      <w:bookmarkStart w:id="7" w:name="OLE_LINK6"/>
      <w:r>
        <w:rPr>
          <w:rFonts w:hint="eastAsia" w:ascii="仿宋" w:hAnsi="仿宋" w:eastAsia="仿宋" w:cs="仿宋"/>
          <w:b w:val="0"/>
          <w:bCs w:val="0"/>
          <w:sz w:val="24"/>
          <w:szCs w:val="24"/>
          <w:highlight w:val="none"/>
          <w:lang w:val="en-US" w:eastAsia="zh-CN"/>
        </w:rPr>
        <w:t>HJ604-2017</w:t>
      </w:r>
      <w:bookmarkEnd w:id="7"/>
      <w:r>
        <w:rPr>
          <w:rFonts w:hint="eastAsia" w:ascii="仿宋" w:hAnsi="仿宋" w:eastAsia="仿宋" w:cs="仿宋"/>
          <w:b w:val="0"/>
          <w:bCs w:val="0"/>
          <w:sz w:val="24"/>
          <w:szCs w:val="24"/>
          <w:highlight w:val="none"/>
          <w:lang w:val="en-US" w:eastAsia="zh-CN"/>
        </w:rPr>
        <w:t xml:space="preserve"> ；</w:t>
      </w:r>
    </w:p>
    <w:p w14:paraId="030E112A">
      <w:pPr>
        <w:pStyle w:val="4"/>
        <w:spacing w:line="240" w:lineRule="auto"/>
        <w:ind w:left="0" w:leftChars="0" w:firstLine="680" w:firstLineChars="0"/>
        <w:rPr>
          <w:rFonts w:hint="eastAsia" w:ascii="仿宋" w:hAnsi="仿宋" w:eastAsia="仿宋" w:cs="仿宋"/>
          <w:b w:val="0"/>
          <w:bCs w:val="0"/>
          <w:snapToGrid/>
          <w:color w:val="auto"/>
          <w:kern w:val="0"/>
          <w:sz w:val="24"/>
          <w:szCs w:val="24"/>
          <w:highlight w:val="none"/>
          <w:lang w:val="en-US" w:eastAsia="zh-CN" w:bidi="ar-SA"/>
        </w:rPr>
      </w:pPr>
      <w:r>
        <w:rPr>
          <w:rFonts w:hint="eastAsia" w:ascii="仿宋" w:hAnsi="仿宋" w:eastAsia="仿宋" w:cs="仿宋"/>
          <w:b w:val="0"/>
          <w:bCs w:val="0"/>
          <w:snapToGrid/>
          <w:color w:val="auto"/>
          <w:kern w:val="0"/>
          <w:sz w:val="24"/>
          <w:szCs w:val="24"/>
          <w:highlight w:val="none"/>
          <w:lang w:val="en-US" w:eastAsia="zh-CN" w:bidi="ar-SA"/>
        </w:rPr>
        <w:t>3.分析要求：分析环节必须符合国家和省相关标准和技术规范要求及各检测分析方法中的要求执行。</w:t>
      </w:r>
    </w:p>
    <w:p w14:paraId="60CF9B3C">
      <w:pPr>
        <w:pStyle w:val="4"/>
        <w:spacing w:line="240" w:lineRule="auto"/>
        <w:ind w:left="0" w:leftChars="0" w:firstLine="680" w:firstLineChars="0"/>
        <w:rPr>
          <w:rFonts w:hint="eastAsia" w:ascii="仿宋" w:hAnsi="仿宋" w:eastAsia="仿宋" w:cs="仿宋"/>
          <w:b w:val="0"/>
          <w:bCs w:val="0"/>
          <w:snapToGrid/>
          <w:color w:val="auto"/>
          <w:kern w:val="0"/>
          <w:sz w:val="24"/>
          <w:szCs w:val="24"/>
          <w:highlight w:val="none"/>
          <w:lang w:val="en-US" w:eastAsia="zh-CN" w:bidi="ar-SA"/>
        </w:rPr>
      </w:pPr>
      <w:r>
        <w:rPr>
          <w:rFonts w:hint="eastAsia" w:ascii="仿宋" w:hAnsi="仿宋" w:eastAsia="仿宋" w:cs="仿宋"/>
          <w:b w:val="0"/>
          <w:bCs w:val="0"/>
          <w:snapToGrid/>
          <w:color w:val="auto"/>
          <w:kern w:val="0"/>
          <w:sz w:val="24"/>
          <w:szCs w:val="24"/>
          <w:highlight w:val="none"/>
          <w:lang w:val="en-US" w:eastAsia="zh-CN" w:bidi="ar-SA"/>
        </w:rPr>
        <w:t xml:space="preserve">4.质控样要求:供应商须随时备有pH值、化学需氧量、石油类、总氰化物、动植物油、粪大肠菌群等质控样，质控样的数据必须在质控范围内，相关数据方可采纳。 </w:t>
      </w:r>
    </w:p>
    <w:p w14:paraId="12AB6FB4">
      <w:pPr>
        <w:pStyle w:val="4"/>
        <w:spacing w:line="240" w:lineRule="auto"/>
        <w:ind w:left="0" w:leftChars="0" w:firstLine="680" w:firstLineChars="0"/>
        <w:rPr>
          <w:rFonts w:hint="eastAsia" w:ascii="仿宋" w:hAnsi="仿宋" w:eastAsia="仿宋" w:cs="仿宋"/>
          <w:b w:val="0"/>
          <w:bCs w:val="0"/>
          <w:snapToGrid/>
          <w:color w:val="auto"/>
          <w:kern w:val="0"/>
          <w:sz w:val="24"/>
          <w:szCs w:val="24"/>
          <w:highlight w:val="none"/>
          <w:lang w:val="en-US" w:eastAsia="zh-CN" w:bidi="ar-SA"/>
        </w:rPr>
      </w:pPr>
      <w:r>
        <w:rPr>
          <w:rFonts w:hint="eastAsia" w:ascii="仿宋" w:hAnsi="仿宋" w:eastAsia="仿宋" w:cs="仿宋"/>
          <w:b w:val="0"/>
          <w:bCs w:val="0"/>
          <w:snapToGrid/>
          <w:color w:val="auto"/>
          <w:kern w:val="0"/>
          <w:sz w:val="24"/>
          <w:szCs w:val="24"/>
          <w:highlight w:val="none"/>
          <w:lang w:val="en-US" w:eastAsia="zh-CN" w:bidi="ar-SA"/>
        </w:rPr>
        <w:t>5.责任追究：当上述工作任务未按相关要求完成或质控要求中的任何一项达不到相关要求时，说明该批样品的检测数据存在可疑，采购人有权要求供应商 24 小时内对该批次样品进行重新检测，若重新检测结果还未满足质控要求，供应商须在2天内重新到现场采样检测，重新采样检测过程中产生的一切费用由供应商承担。若重新现场采样检测后，检测数据仍达不到质控要求，出现一次采购人扣除当月服务费用，出现两次及以上采购人有权单方面解除合同且不承担任何违约责任。另外如发现供应商在采样及分析过程中存在弄虚作假现象，采购人有权单方面解除合同，并追究相关法律责任，供应商须承担一切后果并向采购人支付合同金额30%的违约金。</w:t>
      </w:r>
    </w:p>
    <w:p w14:paraId="0E34D70D">
      <w:pPr>
        <w:pStyle w:val="4"/>
        <w:spacing w:line="240" w:lineRule="auto"/>
        <w:ind w:left="0" w:leftChars="0" w:firstLine="0" w:firstLineChars="0"/>
        <w:rPr>
          <w:rFonts w:hint="eastAsia" w:ascii="仿宋" w:hAnsi="仿宋" w:eastAsia="仿宋" w:cs="仿宋"/>
          <w:b/>
          <w:bCs/>
          <w:snapToGrid/>
          <w:color w:val="auto"/>
          <w:kern w:val="0"/>
          <w:sz w:val="24"/>
          <w:szCs w:val="24"/>
          <w:highlight w:val="none"/>
          <w:lang w:val="en-US" w:eastAsia="zh-CN" w:bidi="ar-SA"/>
        </w:rPr>
      </w:pPr>
      <w:r>
        <w:rPr>
          <w:rFonts w:hint="eastAsia" w:ascii="仿宋" w:hAnsi="仿宋" w:eastAsia="仿宋" w:cs="仿宋"/>
          <w:b/>
          <w:bCs/>
          <w:snapToGrid/>
          <w:color w:val="auto"/>
          <w:kern w:val="0"/>
          <w:sz w:val="24"/>
          <w:szCs w:val="24"/>
          <w:highlight w:val="none"/>
          <w:lang w:val="en-US" w:eastAsia="zh-CN" w:bidi="ar-SA"/>
        </w:rPr>
        <w:t>（三）其他要求:</w:t>
      </w:r>
    </w:p>
    <w:p w14:paraId="462BFB89">
      <w:pPr>
        <w:pStyle w:val="4"/>
        <w:spacing w:line="240" w:lineRule="auto"/>
        <w:ind w:left="0" w:leftChars="0" w:firstLine="680" w:firstLineChars="0"/>
        <w:rPr>
          <w:rFonts w:hint="eastAsia" w:ascii="仿宋" w:hAnsi="仿宋" w:eastAsia="仿宋" w:cs="仿宋"/>
          <w:b w:val="0"/>
          <w:bCs w:val="0"/>
          <w:snapToGrid/>
          <w:color w:val="auto"/>
          <w:kern w:val="0"/>
          <w:sz w:val="24"/>
          <w:szCs w:val="24"/>
          <w:highlight w:val="none"/>
          <w:lang w:val="en-US" w:eastAsia="zh-CN" w:bidi="ar-SA"/>
        </w:rPr>
      </w:pPr>
      <w:r>
        <w:rPr>
          <w:rFonts w:hint="eastAsia" w:ascii="仿宋" w:hAnsi="仿宋" w:eastAsia="仿宋" w:cs="仿宋"/>
          <w:b w:val="0"/>
          <w:bCs w:val="0"/>
          <w:snapToGrid/>
          <w:color w:val="auto"/>
          <w:kern w:val="0"/>
          <w:sz w:val="24"/>
          <w:szCs w:val="24"/>
          <w:highlight w:val="none"/>
          <w:lang w:val="en-US" w:eastAsia="zh-CN" w:bidi="ar-SA"/>
        </w:rPr>
        <w:t>1.采样方法：按照《污水监测技术规范》（HJ91.1-2002）执行。</w:t>
      </w:r>
    </w:p>
    <w:p w14:paraId="3E96CAF0">
      <w:pPr>
        <w:pStyle w:val="4"/>
        <w:spacing w:line="240" w:lineRule="auto"/>
        <w:ind w:left="0" w:leftChars="0" w:firstLine="680" w:firstLineChars="0"/>
        <w:rPr>
          <w:rFonts w:hint="eastAsia" w:ascii="仿宋" w:hAnsi="仿宋" w:eastAsia="仿宋" w:cs="仿宋"/>
          <w:b w:val="0"/>
          <w:bCs w:val="0"/>
          <w:snapToGrid/>
          <w:color w:val="auto"/>
          <w:kern w:val="0"/>
          <w:sz w:val="24"/>
          <w:szCs w:val="24"/>
          <w:highlight w:val="none"/>
          <w:lang w:val="en-US" w:eastAsia="zh-CN" w:bidi="ar-SA"/>
        </w:rPr>
      </w:pPr>
      <w:r>
        <w:rPr>
          <w:rFonts w:hint="eastAsia" w:ascii="仿宋" w:hAnsi="仿宋" w:eastAsia="仿宋" w:cs="仿宋"/>
          <w:b w:val="0"/>
          <w:bCs w:val="0"/>
          <w:snapToGrid/>
          <w:color w:val="auto"/>
          <w:kern w:val="0"/>
          <w:sz w:val="24"/>
          <w:szCs w:val="24"/>
          <w:highlight w:val="none"/>
          <w:lang w:val="en-US" w:eastAsia="zh-CN" w:bidi="ar-SA"/>
        </w:rPr>
        <w:t>2.采样容器材质要求：采样容器严格按照国家和省相关标准和技术规范要求执行。</w:t>
      </w:r>
    </w:p>
    <w:p w14:paraId="6AD93572">
      <w:pPr>
        <w:pStyle w:val="4"/>
        <w:spacing w:line="240" w:lineRule="auto"/>
        <w:ind w:left="0" w:leftChars="0" w:firstLine="680" w:firstLineChars="0"/>
        <w:rPr>
          <w:rFonts w:hint="eastAsia" w:ascii="仿宋" w:hAnsi="仿宋" w:eastAsia="仿宋" w:cs="仿宋"/>
          <w:b w:val="0"/>
          <w:bCs w:val="0"/>
          <w:snapToGrid/>
          <w:color w:val="auto"/>
          <w:kern w:val="0"/>
          <w:sz w:val="24"/>
          <w:szCs w:val="24"/>
          <w:highlight w:val="none"/>
          <w:lang w:val="en-US" w:eastAsia="zh-CN" w:bidi="ar-SA"/>
        </w:rPr>
      </w:pPr>
      <w:r>
        <w:rPr>
          <w:rFonts w:hint="eastAsia" w:ascii="仿宋" w:hAnsi="仿宋" w:eastAsia="仿宋" w:cs="仿宋"/>
          <w:b w:val="0"/>
          <w:bCs w:val="0"/>
          <w:snapToGrid/>
          <w:color w:val="auto"/>
          <w:kern w:val="0"/>
          <w:sz w:val="24"/>
          <w:szCs w:val="24"/>
          <w:highlight w:val="none"/>
          <w:lang w:val="en-US" w:eastAsia="zh-CN" w:bidi="ar-SA"/>
        </w:rPr>
        <w:t>3.样品保存要求：水样的保存必须符合国家和省相关标准和技术规范要求执行。</w:t>
      </w:r>
    </w:p>
    <w:p w14:paraId="6CFE4AEE">
      <w:pPr>
        <w:pStyle w:val="4"/>
        <w:spacing w:line="240" w:lineRule="auto"/>
        <w:ind w:left="0" w:leftChars="0" w:firstLine="680" w:firstLineChars="0"/>
        <w:rPr>
          <w:rFonts w:hint="eastAsia" w:ascii="仿宋" w:hAnsi="仿宋" w:eastAsia="仿宋" w:cs="仿宋"/>
          <w:b w:val="0"/>
          <w:bCs w:val="0"/>
          <w:snapToGrid/>
          <w:color w:val="auto"/>
          <w:kern w:val="0"/>
          <w:sz w:val="24"/>
          <w:szCs w:val="24"/>
          <w:highlight w:val="none"/>
          <w:lang w:val="en-US" w:eastAsia="zh-CN" w:bidi="ar-SA"/>
        </w:rPr>
      </w:pPr>
      <w:r>
        <w:rPr>
          <w:rFonts w:hint="eastAsia" w:ascii="仿宋" w:hAnsi="仿宋" w:eastAsia="仿宋" w:cs="仿宋"/>
          <w:b w:val="0"/>
          <w:bCs w:val="0"/>
          <w:snapToGrid/>
          <w:color w:val="auto"/>
          <w:kern w:val="0"/>
          <w:sz w:val="24"/>
          <w:szCs w:val="24"/>
          <w:highlight w:val="none"/>
          <w:lang w:val="en-US" w:eastAsia="zh-CN" w:bidi="ar-SA"/>
        </w:rPr>
        <w:t>4.分析时间要求:所有样品必须按照国家和省相关标准和技术规范要求在有效期限内完成分析，原则上不超过2天。</w:t>
      </w:r>
    </w:p>
    <w:p w14:paraId="629D8D48">
      <w:pPr>
        <w:pStyle w:val="4"/>
        <w:spacing w:line="240" w:lineRule="auto"/>
        <w:ind w:left="0" w:leftChars="0" w:firstLine="680" w:firstLineChars="0"/>
        <w:rPr>
          <w:rFonts w:hint="eastAsia" w:ascii="仿宋" w:hAnsi="仿宋" w:eastAsia="仿宋" w:cs="仿宋"/>
          <w:b/>
          <w:bCs/>
          <w:snapToGrid/>
          <w:color w:val="auto"/>
          <w:kern w:val="0"/>
          <w:sz w:val="24"/>
          <w:szCs w:val="24"/>
          <w:highlight w:val="none"/>
          <w:lang w:val="en-US" w:eastAsia="zh-CN" w:bidi="ar-SA"/>
        </w:rPr>
      </w:pPr>
      <w:r>
        <w:rPr>
          <w:rFonts w:hint="eastAsia" w:ascii="仿宋" w:hAnsi="仿宋" w:eastAsia="仿宋" w:cs="仿宋"/>
          <w:b w:val="0"/>
          <w:bCs w:val="0"/>
          <w:snapToGrid/>
          <w:color w:val="auto"/>
          <w:kern w:val="0"/>
          <w:sz w:val="24"/>
          <w:szCs w:val="24"/>
          <w:highlight w:val="none"/>
          <w:lang w:val="en-US" w:eastAsia="zh-CN" w:bidi="ar-SA"/>
        </w:rPr>
        <w:t>5.应急检测：供应商须具备应急检测能力，应急检测须在接到采购人通知后1小时内到达现场采样，现场采样后2小时内（或采购人规定的时间内）出具检测结果并及时通报采购人，因结果出具超过规定时间造成的一切后果由供应商承担全部责任。</w:t>
      </w:r>
      <w:r>
        <w:rPr>
          <w:rFonts w:hint="eastAsia" w:ascii="仿宋" w:hAnsi="仿宋" w:eastAsia="仿宋" w:cs="仿宋"/>
          <w:b/>
          <w:bCs/>
          <w:snapToGrid/>
          <w:color w:val="auto"/>
          <w:kern w:val="0"/>
          <w:sz w:val="24"/>
          <w:szCs w:val="24"/>
          <w:highlight w:val="none"/>
          <w:lang w:val="en-US" w:eastAsia="zh-CN" w:bidi="ar-SA"/>
        </w:rPr>
        <w:t>（供应商须在响应文件中提供承诺函，格式自拟，并加盖供应商公章）</w:t>
      </w:r>
    </w:p>
    <w:p w14:paraId="13D59F8A">
      <w:pPr>
        <w:pStyle w:val="4"/>
        <w:spacing w:line="240" w:lineRule="auto"/>
        <w:ind w:left="0" w:leftChars="0" w:firstLine="680" w:firstLineChars="0"/>
        <w:rPr>
          <w:rFonts w:hint="eastAsia" w:ascii="仿宋" w:hAnsi="仿宋" w:eastAsia="仿宋" w:cs="仿宋"/>
          <w:b w:val="0"/>
          <w:bCs w:val="0"/>
          <w:snapToGrid/>
          <w:color w:val="auto"/>
          <w:kern w:val="0"/>
          <w:sz w:val="24"/>
          <w:szCs w:val="24"/>
          <w:highlight w:val="none"/>
          <w:lang w:val="en-US" w:eastAsia="zh-CN" w:bidi="ar-SA"/>
        </w:rPr>
      </w:pPr>
      <w:r>
        <w:rPr>
          <w:rFonts w:hint="eastAsia" w:ascii="仿宋" w:hAnsi="仿宋" w:eastAsia="仿宋" w:cs="仿宋"/>
          <w:b/>
          <w:bCs/>
          <w:snapToGrid/>
          <w:color w:val="auto"/>
          <w:kern w:val="0"/>
          <w:sz w:val="24"/>
          <w:szCs w:val="24"/>
          <w:highlight w:val="none"/>
          <w:lang w:val="en-US" w:eastAsia="zh-CN" w:bidi="ar-SA"/>
        </w:rPr>
        <w:t>6.履约能力要求：供应商须在响应文件中提供相关主要检测设备清单（含设备名称、生产厂家、规格型号、数量、对应检测项目等信息），并提供设备权属证明（购买合同或发票或租赁协议）和实验室场景照片。</w:t>
      </w:r>
    </w:p>
    <w:p w14:paraId="013EE8FD">
      <w:pPr>
        <w:spacing w:line="240" w:lineRule="auto"/>
        <w:rPr>
          <w:rFonts w:hint="eastAsia" w:ascii="仿宋" w:hAnsi="仿宋" w:eastAsia="仿宋" w:cs="仿宋"/>
          <w:b/>
          <w:bCs/>
          <w:sz w:val="32"/>
          <w:szCs w:val="28"/>
          <w:highlight w:val="none"/>
        </w:rPr>
      </w:pPr>
      <w:r>
        <w:rPr>
          <w:rFonts w:hint="eastAsia" w:ascii="仿宋" w:hAnsi="仿宋" w:eastAsia="仿宋" w:cs="仿宋"/>
          <w:b w:val="0"/>
          <w:bCs w:val="0"/>
          <w:snapToGrid/>
          <w:color w:val="auto"/>
          <w:kern w:val="0"/>
          <w:sz w:val="30"/>
          <w:szCs w:val="30"/>
          <w:highlight w:val="none"/>
          <w:lang w:val="en-US" w:eastAsia="zh-CN" w:bidi="ar-SA"/>
        </w:rPr>
        <w:t>★</w:t>
      </w:r>
      <w:r>
        <w:rPr>
          <w:rFonts w:hint="eastAsia" w:ascii="仿宋" w:hAnsi="仿宋" w:eastAsia="仿宋" w:cs="仿宋"/>
          <w:b/>
          <w:bCs/>
          <w:sz w:val="30"/>
          <w:szCs w:val="30"/>
          <w:highlight w:val="none"/>
          <w:lang w:val="en-US" w:eastAsia="zh-CN"/>
        </w:rPr>
        <w:t>三、</w:t>
      </w:r>
      <w:r>
        <w:rPr>
          <w:rFonts w:hint="eastAsia" w:ascii="仿宋" w:hAnsi="仿宋" w:eastAsia="仿宋" w:cs="仿宋"/>
          <w:b/>
          <w:bCs/>
          <w:sz w:val="30"/>
          <w:szCs w:val="30"/>
          <w:highlight w:val="none"/>
        </w:rPr>
        <w:t>商务要求</w:t>
      </w:r>
    </w:p>
    <w:p w14:paraId="29F81DC1">
      <w:pPr>
        <w:pStyle w:val="2"/>
        <w:spacing w:line="240" w:lineRule="auto"/>
        <w:ind w:firstLine="480" w:firstLineChars="200"/>
        <w:rPr>
          <w:rFonts w:hint="eastAsia" w:ascii="仿宋" w:hAnsi="仿宋" w:eastAsia="仿宋" w:cs="仿宋"/>
          <w:sz w:val="24"/>
          <w:szCs w:val="24"/>
          <w:highlight w:val="none"/>
        </w:rPr>
      </w:pPr>
      <w:bookmarkStart w:id="8" w:name="OLE_LINK23"/>
      <w:r>
        <w:rPr>
          <w:rFonts w:hint="eastAsia" w:ascii="仿宋" w:hAnsi="仿宋" w:eastAsia="仿宋" w:cs="仿宋"/>
          <w:sz w:val="24"/>
          <w:szCs w:val="24"/>
          <w:highlight w:val="none"/>
        </w:rPr>
        <w:t>（一）</w:t>
      </w:r>
      <w:r>
        <w:rPr>
          <w:rFonts w:hint="eastAsia" w:ascii="仿宋" w:hAnsi="仿宋" w:eastAsia="仿宋" w:cs="仿宋"/>
          <w:sz w:val="24"/>
          <w:szCs w:val="24"/>
          <w:highlight w:val="none"/>
          <w:lang w:eastAsia="zh-CN"/>
        </w:rPr>
        <w:t>服务</w:t>
      </w:r>
      <w:r>
        <w:rPr>
          <w:rFonts w:hint="eastAsia" w:ascii="仿宋" w:hAnsi="仿宋" w:eastAsia="仿宋" w:cs="仿宋"/>
          <w:sz w:val="24"/>
          <w:szCs w:val="24"/>
          <w:highlight w:val="none"/>
        </w:rPr>
        <w:t>期限：</w:t>
      </w:r>
      <w:r>
        <w:rPr>
          <w:rFonts w:hint="eastAsia" w:ascii="仿宋" w:hAnsi="仿宋" w:eastAsia="仿宋" w:cs="仿宋"/>
          <w:sz w:val="24"/>
          <w:szCs w:val="24"/>
          <w:highlight w:val="none"/>
          <w:lang w:eastAsia="zh-CN"/>
        </w:rPr>
        <w:t>三年，合同一年一签。服务期限内，若相关设施采购人停止使用后，则相应的监测服务不再提供。</w:t>
      </w:r>
    </w:p>
    <w:p w14:paraId="0A2443C8">
      <w:pPr>
        <w:pStyle w:val="2"/>
        <w:spacing w:line="24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w:t>
      </w:r>
      <w:r>
        <w:rPr>
          <w:rFonts w:hint="eastAsia" w:ascii="仿宋" w:hAnsi="仿宋" w:eastAsia="仿宋" w:cs="仿宋"/>
          <w:sz w:val="24"/>
          <w:szCs w:val="24"/>
          <w:highlight w:val="none"/>
          <w:lang w:eastAsia="zh-CN"/>
        </w:rPr>
        <w:t>服务</w:t>
      </w:r>
      <w:r>
        <w:rPr>
          <w:rFonts w:hint="eastAsia" w:ascii="仿宋" w:hAnsi="仿宋" w:eastAsia="仿宋" w:cs="仿宋"/>
          <w:sz w:val="24"/>
          <w:szCs w:val="24"/>
          <w:highlight w:val="none"/>
        </w:rPr>
        <w:t>地点：</w:t>
      </w:r>
      <w:r>
        <w:rPr>
          <w:rFonts w:hint="eastAsia" w:ascii="仿宋" w:hAnsi="仿宋" w:eastAsia="仿宋" w:cs="仿宋"/>
          <w:sz w:val="24"/>
          <w:szCs w:val="24"/>
          <w:highlight w:val="none"/>
          <w:lang w:eastAsia="zh-CN"/>
        </w:rPr>
        <w:t>内江市第一人民医院院区内</w:t>
      </w:r>
      <w:r>
        <w:rPr>
          <w:rFonts w:hint="eastAsia" w:ascii="仿宋" w:hAnsi="仿宋" w:eastAsia="仿宋" w:cs="仿宋"/>
          <w:sz w:val="24"/>
          <w:szCs w:val="24"/>
          <w:highlight w:val="none"/>
        </w:rPr>
        <w:t>。</w:t>
      </w:r>
    </w:p>
    <w:p w14:paraId="0ED70B71">
      <w:pPr>
        <w:pStyle w:val="2"/>
        <w:spacing w:line="240" w:lineRule="auto"/>
        <w:ind w:firstLine="480" w:firstLineChars="200"/>
        <w:rPr>
          <w:rFonts w:hint="eastAsia" w:ascii="仿宋" w:hAnsi="仿宋" w:eastAsia="仿宋" w:cs="仿宋"/>
          <w:b/>
          <w:bCs/>
          <w:sz w:val="24"/>
          <w:szCs w:val="24"/>
          <w:highlight w:val="none"/>
        </w:rPr>
      </w:pPr>
      <w:r>
        <w:rPr>
          <w:rFonts w:hint="eastAsia" w:ascii="仿宋" w:hAnsi="仿宋" w:eastAsia="仿宋" w:cs="仿宋"/>
          <w:sz w:val="24"/>
          <w:szCs w:val="24"/>
          <w:highlight w:val="none"/>
        </w:rPr>
        <w:t>（三）支付约定：</w:t>
      </w:r>
      <w:r>
        <w:rPr>
          <w:rFonts w:hint="eastAsia" w:ascii="仿宋" w:hAnsi="仿宋" w:eastAsia="仿宋" w:cs="仿宋"/>
          <w:sz w:val="24"/>
          <w:szCs w:val="24"/>
          <w:highlight w:val="none"/>
          <w:lang w:val="en-US" w:eastAsia="zh-CN"/>
        </w:rPr>
        <w:t>本项目每6个月支付一次。合同签订生效6个月后的第一个月内，供应商向采购人提供合同金额50%的合法有效的增值税发票和服务清单等完整资料后，采购人按</w:t>
      </w:r>
      <w:r>
        <w:rPr>
          <w:rFonts w:hint="eastAsia" w:ascii="仿宋" w:hAnsi="仿宋" w:eastAsia="仿宋" w:cs="仿宋"/>
          <w:sz w:val="24"/>
          <w:szCs w:val="24"/>
          <w:highlight w:val="none"/>
          <w:lang w:val="en-US" w:eastAsia="zh-Hans"/>
        </w:rPr>
        <w:t>其</w:t>
      </w:r>
      <w:r>
        <w:rPr>
          <w:rFonts w:hint="eastAsia" w:ascii="仿宋" w:hAnsi="仿宋" w:eastAsia="仿宋" w:cs="仿宋"/>
          <w:sz w:val="24"/>
          <w:szCs w:val="24"/>
          <w:highlight w:val="none"/>
          <w:lang w:val="en-US" w:eastAsia="zh-CN"/>
        </w:rPr>
        <w:t>财务支付规定按时支付（如有违约金应当扣减），以此类推。</w:t>
      </w:r>
      <w:r>
        <w:rPr>
          <w:rFonts w:hint="eastAsia" w:ascii="仿宋" w:hAnsi="仿宋" w:eastAsia="仿宋" w:cs="仿宋"/>
          <w:sz w:val="24"/>
          <w:szCs w:val="24"/>
          <w:highlight w:val="none"/>
          <w:lang w:eastAsia="zh-CN"/>
        </w:rPr>
        <w:t>服务期限内，</w:t>
      </w:r>
      <w:r>
        <w:rPr>
          <w:rFonts w:hint="eastAsia" w:ascii="仿宋" w:hAnsi="仿宋" w:eastAsia="仿宋" w:cs="仿宋"/>
          <w:sz w:val="24"/>
          <w:szCs w:val="24"/>
          <w:highlight w:val="none"/>
          <w:lang w:val="en-US" w:eastAsia="zh-CN"/>
        </w:rPr>
        <w:t>若采购人新区和城南院区相关设施停用造成实际监测点位数量和项目发生变化的，则按供应商实验室检测项目单项报价和监测频次要求核减相应服务费，采购人按核减后的服务费支付。</w:t>
      </w:r>
    </w:p>
    <w:p w14:paraId="1E49234C">
      <w:pPr>
        <w:pStyle w:val="2"/>
        <w:spacing w:line="24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（四）报价要求：</w:t>
      </w:r>
    </w:p>
    <w:p w14:paraId="1F270F23">
      <w:pPr>
        <w:pStyle w:val="2"/>
        <w:spacing w:line="24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本项目</w:t>
      </w:r>
      <w:r>
        <w:rPr>
          <w:rFonts w:hint="eastAsia" w:ascii="仿宋" w:hAnsi="仿宋" w:eastAsia="仿宋" w:cs="仿宋"/>
          <w:sz w:val="24"/>
          <w:szCs w:val="24"/>
          <w:highlight w:val="none"/>
          <w:lang w:eastAsia="zh-CN"/>
        </w:rPr>
        <w:t>供应商按不高于</w:t>
      </w:r>
      <w:r>
        <w:rPr>
          <w:rFonts w:hint="eastAsia" w:ascii="仿宋" w:hAnsi="仿宋" w:eastAsia="仿宋" w:cs="仿宋"/>
          <w:sz w:val="24"/>
          <w:szCs w:val="24"/>
          <w:highlight w:val="none"/>
          <w:lang w:val="en-US" w:eastAsia="zh-CN"/>
        </w:rPr>
        <w:t>83000.00元/年</w:t>
      </w:r>
      <w:r>
        <w:rPr>
          <w:rFonts w:hint="eastAsia" w:ascii="仿宋" w:hAnsi="仿宋" w:eastAsia="仿宋" w:cs="仿宋"/>
          <w:sz w:val="24"/>
          <w:szCs w:val="24"/>
          <w:highlight w:val="none"/>
        </w:rPr>
        <w:t>报价</w:t>
      </w:r>
      <w:r>
        <w:rPr>
          <w:rFonts w:hint="eastAsia" w:ascii="仿宋" w:hAnsi="仿宋" w:eastAsia="仿宋" w:cs="仿宋"/>
          <w:sz w:val="24"/>
          <w:szCs w:val="24"/>
          <w:highlight w:val="none"/>
          <w:lang w:eastAsia="zh-CN"/>
        </w:rPr>
        <w:t>，报价</w:t>
      </w:r>
      <w:r>
        <w:rPr>
          <w:rFonts w:hint="eastAsia" w:ascii="仿宋" w:hAnsi="仿宋" w:eastAsia="仿宋" w:cs="仿宋"/>
          <w:sz w:val="24"/>
          <w:szCs w:val="24"/>
          <w:highlight w:val="none"/>
        </w:rPr>
        <w:t>包括但不限于：</w:t>
      </w:r>
      <w:bookmarkStart w:id="9" w:name="OLE_LINK24"/>
      <w:r>
        <w:rPr>
          <w:rFonts w:hint="eastAsia" w:ascii="仿宋" w:hAnsi="仿宋" w:eastAsia="仿宋" w:cs="仿宋"/>
          <w:sz w:val="24"/>
          <w:szCs w:val="24"/>
          <w:highlight w:val="none"/>
        </w:rPr>
        <w:t>产品成本、税费、利润、包装、运输、人工、差旅、保险、采购代理服务费等完成本项目的一切费用，采购人不再额外支付其他任何费用。</w:t>
      </w:r>
      <w:bookmarkEnd w:id="9"/>
    </w:p>
    <w:p w14:paraId="23E5A8F7">
      <w:pPr>
        <w:pStyle w:val="4"/>
        <w:numPr>
          <w:ilvl w:val="0"/>
          <w:numId w:val="0"/>
        </w:numPr>
        <w:spacing w:line="24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2.供应商须按《</w:t>
      </w:r>
      <w:r>
        <w:rPr>
          <w:rFonts w:hint="eastAsia" w:ascii="仿宋" w:hAnsi="仿宋" w:eastAsia="仿宋" w:cs="仿宋"/>
          <w:color w:val="auto"/>
          <w:sz w:val="24"/>
          <w:szCs w:val="24"/>
          <w:highlight w:val="none"/>
        </w:rPr>
        <w:t>实验室检测项目报价表</w:t>
      </w:r>
      <w:r>
        <w:rPr>
          <w:rFonts w:hint="eastAsia" w:ascii="仿宋" w:hAnsi="仿宋" w:eastAsia="仿宋" w:cs="仿宋"/>
          <w:color w:val="auto"/>
          <w:sz w:val="24"/>
          <w:szCs w:val="24"/>
          <w:highlight w:val="none"/>
          <w:lang w:val="en-US" w:eastAsia="zh-CN"/>
        </w:rPr>
        <w:t>》（见第六章）一次性报出不可更改的价格，</w:t>
      </w:r>
      <w:bookmarkStart w:id="10" w:name="OLE_LINK12"/>
      <w:r>
        <w:rPr>
          <w:rFonts w:hint="eastAsia" w:ascii="仿宋" w:hAnsi="仿宋" w:eastAsia="仿宋" w:cs="仿宋"/>
          <w:color w:val="auto"/>
          <w:sz w:val="24"/>
          <w:szCs w:val="24"/>
          <w:highlight w:val="none"/>
          <w:lang w:val="en-US" w:eastAsia="zh-CN"/>
        </w:rPr>
        <w:t>该报价供采购人在监测点位数量和项目发生变化时作为服务费测算依据，不作为评审因素。</w:t>
      </w:r>
      <w:bookmarkEnd w:id="10"/>
    </w:p>
    <w:p w14:paraId="7FAF8EA3">
      <w:pPr>
        <w:pStyle w:val="4"/>
        <w:numPr>
          <w:ilvl w:val="0"/>
          <w:numId w:val="0"/>
        </w:numPr>
        <w:spacing w:line="24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（五）</w:t>
      </w:r>
      <w:r>
        <w:rPr>
          <w:rFonts w:hint="eastAsia" w:ascii="仿宋" w:hAnsi="仿宋" w:eastAsia="仿宋" w:cs="仿宋"/>
          <w:color w:val="auto"/>
          <w:sz w:val="24"/>
          <w:szCs w:val="24"/>
          <w:highlight w:val="none"/>
        </w:rPr>
        <w:t>供应商应保证所提供</w:t>
      </w:r>
      <w:r>
        <w:rPr>
          <w:rFonts w:hint="eastAsia" w:ascii="仿宋" w:hAnsi="仿宋" w:eastAsia="仿宋" w:cs="仿宋"/>
          <w:color w:val="auto"/>
          <w:sz w:val="24"/>
          <w:szCs w:val="24"/>
          <w:highlight w:val="none"/>
          <w:lang w:eastAsia="zh-CN"/>
        </w:rPr>
        <w:t>服务或</w:t>
      </w:r>
      <w:r>
        <w:rPr>
          <w:rFonts w:hint="eastAsia" w:ascii="仿宋" w:hAnsi="仿宋" w:eastAsia="仿宋" w:cs="仿宋"/>
          <w:color w:val="auto"/>
          <w:sz w:val="24"/>
          <w:szCs w:val="24"/>
          <w:highlight w:val="none"/>
        </w:rPr>
        <w:t>产品均不会侵犯任何第三方的知识产权，且权属清楚。如因此与第三人发生争议、诉讼或仲裁案件，由供应商承担全部责任，并负责赔偿采购人由此而遭受的全部损失。</w:t>
      </w:r>
    </w:p>
    <w:bookmarkEnd w:id="8"/>
    <w:p w14:paraId="6D6DAC6B">
      <w:pPr>
        <w:keepNext w:val="0"/>
        <w:keepLines w:val="0"/>
        <w:pageBreakBefore w:val="0"/>
        <w:widowControl w:val="0"/>
        <w:tabs>
          <w:tab w:val="left" w:pos="1238"/>
          <w:tab w:val="center" w:pos="4210"/>
        </w:tabs>
        <w:kinsoku/>
        <w:wordWrap/>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snapToGrid w:val="0"/>
          <w:color w:val="auto"/>
          <w:sz w:val="24"/>
          <w:szCs w:val="24"/>
          <w:highlight w:val="none"/>
          <w:lang w:eastAsia="zh-Hans"/>
        </w:rPr>
      </w:pPr>
      <w:r>
        <w:rPr>
          <w:rFonts w:hint="eastAsia" w:ascii="仿宋" w:hAnsi="仿宋" w:eastAsia="仿宋" w:cs="仿宋"/>
          <w:snapToGrid w:val="0"/>
          <w:color w:val="auto"/>
          <w:sz w:val="24"/>
          <w:szCs w:val="24"/>
          <w:highlight w:val="none"/>
          <w:lang w:eastAsia="zh-CN"/>
        </w:rPr>
        <w:t>（六）</w:t>
      </w:r>
      <w:r>
        <w:rPr>
          <w:rFonts w:hint="eastAsia" w:ascii="仿宋" w:hAnsi="仿宋" w:eastAsia="仿宋" w:cs="仿宋"/>
          <w:snapToGrid w:val="0"/>
          <w:color w:val="auto"/>
          <w:sz w:val="24"/>
          <w:szCs w:val="24"/>
          <w:highlight w:val="none"/>
          <w:lang w:eastAsia="zh-Hans"/>
        </w:rPr>
        <w:t>缔约过失责任</w:t>
      </w:r>
    </w:p>
    <w:p w14:paraId="51407249">
      <w:pPr>
        <w:tabs>
          <w:tab w:val="left" w:pos="1238"/>
          <w:tab w:val="center" w:pos="4210"/>
        </w:tabs>
        <w:spacing w:line="240" w:lineRule="auto"/>
        <w:ind w:firstLine="480" w:firstLineChars="200"/>
        <w:jc w:val="left"/>
        <w:rPr>
          <w:rFonts w:hint="eastAsia" w:ascii="仿宋" w:hAnsi="仿宋" w:eastAsia="仿宋" w:cs="仿宋"/>
          <w:snapToGrid w:val="0"/>
          <w:color w:val="auto"/>
          <w:sz w:val="24"/>
          <w:szCs w:val="24"/>
          <w:highlight w:val="none"/>
          <w:lang w:eastAsia="zh-Hans"/>
        </w:rPr>
      </w:pPr>
      <w:r>
        <w:rPr>
          <w:rFonts w:hint="eastAsia" w:ascii="仿宋" w:hAnsi="仿宋" w:eastAsia="仿宋" w:cs="仿宋"/>
          <w:snapToGrid w:val="0"/>
          <w:color w:val="auto"/>
          <w:sz w:val="24"/>
          <w:szCs w:val="24"/>
          <w:highlight w:val="none"/>
          <w:lang w:val="en-US" w:eastAsia="zh-CN"/>
        </w:rPr>
        <w:t>1.</w:t>
      </w:r>
      <w:r>
        <w:rPr>
          <w:rFonts w:hint="eastAsia" w:ascii="仿宋" w:hAnsi="仿宋" w:eastAsia="仿宋" w:cs="仿宋"/>
          <w:snapToGrid w:val="0"/>
          <w:color w:val="auto"/>
          <w:sz w:val="24"/>
          <w:szCs w:val="24"/>
          <w:highlight w:val="none"/>
          <w:lang w:eastAsia="zh-Hans"/>
        </w:rPr>
        <w:t>供应商</w:t>
      </w:r>
      <w:r>
        <w:rPr>
          <w:rFonts w:hint="eastAsia" w:ascii="仿宋" w:hAnsi="仿宋" w:eastAsia="仿宋" w:cs="仿宋"/>
          <w:snapToGrid w:val="0"/>
          <w:color w:val="auto"/>
          <w:sz w:val="24"/>
          <w:szCs w:val="24"/>
          <w:highlight w:val="none"/>
          <w:lang w:eastAsia="zh-CN"/>
        </w:rPr>
        <w:t>成交后</w:t>
      </w:r>
      <w:r>
        <w:rPr>
          <w:rFonts w:hint="eastAsia" w:ascii="仿宋" w:hAnsi="仿宋" w:eastAsia="仿宋" w:cs="仿宋"/>
          <w:snapToGrid w:val="0"/>
          <w:color w:val="auto"/>
          <w:sz w:val="24"/>
          <w:szCs w:val="24"/>
          <w:highlight w:val="none"/>
          <w:lang w:eastAsia="zh-Hans"/>
        </w:rPr>
        <w:t>无正当理由未能在规定时间内与采购人签订合同的，需向采购人支付</w:t>
      </w:r>
      <w:r>
        <w:rPr>
          <w:rFonts w:hint="eastAsia" w:ascii="仿宋" w:hAnsi="仿宋" w:eastAsia="仿宋" w:cs="仿宋"/>
          <w:snapToGrid w:val="0"/>
          <w:color w:val="auto"/>
          <w:sz w:val="24"/>
          <w:szCs w:val="24"/>
          <w:highlight w:val="none"/>
          <w:lang w:val="en-US" w:eastAsia="zh-Hans"/>
        </w:rPr>
        <w:t>本项目预算</w:t>
      </w:r>
      <w:r>
        <w:rPr>
          <w:rFonts w:hint="eastAsia" w:ascii="仿宋" w:hAnsi="仿宋" w:eastAsia="仿宋" w:cs="仿宋"/>
          <w:snapToGrid w:val="0"/>
          <w:color w:val="auto"/>
          <w:sz w:val="24"/>
          <w:szCs w:val="24"/>
          <w:highlight w:val="none"/>
          <w:lang w:val="en-US" w:eastAsia="zh-CN"/>
        </w:rPr>
        <w:t>金额</w:t>
      </w:r>
      <w:r>
        <w:rPr>
          <w:rFonts w:hint="eastAsia" w:ascii="仿宋" w:hAnsi="仿宋" w:eastAsia="仿宋" w:cs="仿宋"/>
          <w:snapToGrid w:val="0"/>
          <w:color w:val="auto"/>
          <w:sz w:val="24"/>
          <w:szCs w:val="24"/>
          <w:highlight w:val="none"/>
          <w:lang w:eastAsia="zh-Hans"/>
        </w:rPr>
        <w:t>的 30%</w:t>
      </w:r>
      <w:r>
        <w:rPr>
          <w:rFonts w:hint="eastAsia" w:ascii="仿宋" w:hAnsi="仿宋" w:eastAsia="仿宋" w:cs="仿宋"/>
          <w:snapToGrid w:val="0"/>
          <w:color w:val="auto"/>
          <w:sz w:val="24"/>
          <w:szCs w:val="24"/>
          <w:highlight w:val="none"/>
          <w:lang w:val="en-US" w:eastAsia="zh-Hans"/>
        </w:rPr>
        <w:t>作为</w:t>
      </w:r>
      <w:r>
        <w:rPr>
          <w:rFonts w:hint="eastAsia" w:ascii="仿宋" w:hAnsi="仿宋" w:eastAsia="仿宋" w:cs="仿宋"/>
          <w:snapToGrid w:val="0"/>
          <w:color w:val="auto"/>
          <w:sz w:val="24"/>
          <w:szCs w:val="24"/>
          <w:highlight w:val="none"/>
          <w:lang w:eastAsia="zh-Hans"/>
        </w:rPr>
        <w:t>赔偿金。赔偿金不足以弥补</w:t>
      </w:r>
      <w:r>
        <w:rPr>
          <w:rFonts w:hint="eastAsia" w:ascii="仿宋" w:hAnsi="仿宋" w:eastAsia="仿宋" w:cs="仿宋"/>
          <w:snapToGrid w:val="0"/>
          <w:color w:val="auto"/>
          <w:sz w:val="24"/>
          <w:szCs w:val="24"/>
          <w:highlight w:val="none"/>
          <w:lang w:val="en-US" w:eastAsia="zh-Hans"/>
        </w:rPr>
        <w:t>采购人</w:t>
      </w:r>
      <w:r>
        <w:rPr>
          <w:rFonts w:hint="eastAsia" w:ascii="仿宋" w:hAnsi="仿宋" w:eastAsia="仿宋" w:cs="仿宋"/>
          <w:snapToGrid w:val="0"/>
          <w:color w:val="auto"/>
          <w:sz w:val="24"/>
          <w:szCs w:val="24"/>
          <w:highlight w:val="none"/>
          <w:lang w:eastAsia="zh-Hans"/>
        </w:rPr>
        <w:t>全部损失的，还应赔偿</w:t>
      </w:r>
      <w:r>
        <w:rPr>
          <w:rFonts w:hint="eastAsia" w:ascii="仿宋" w:hAnsi="仿宋" w:eastAsia="仿宋" w:cs="仿宋"/>
          <w:snapToGrid w:val="0"/>
          <w:color w:val="auto"/>
          <w:sz w:val="24"/>
          <w:szCs w:val="24"/>
          <w:highlight w:val="none"/>
          <w:lang w:val="en-US" w:eastAsia="zh-Hans"/>
        </w:rPr>
        <w:t>采购人</w:t>
      </w:r>
      <w:r>
        <w:rPr>
          <w:rFonts w:hint="eastAsia" w:ascii="仿宋" w:hAnsi="仿宋" w:eastAsia="仿宋" w:cs="仿宋"/>
          <w:snapToGrid w:val="0"/>
          <w:color w:val="auto"/>
          <w:sz w:val="24"/>
          <w:szCs w:val="24"/>
          <w:highlight w:val="none"/>
          <w:lang w:eastAsia="zh-Hans"/>
        </w:rPr>
        <w:t>全部损失。</w:t>
      </w:r>
    </w:p>
    <w:p w14:paraId="0F1ED5BF">
      <w:pPr>
        <w:tabs>
          <w:tab w:val="left" w:pos="1238"/>
          <w:tab w:val="center" w:pos="4210"/>
        </w:tabs>
        <w:spacing w:line="240" w:lineRule="auto"/>
        <w:ind w:firstLine="480" w:firstLineChars="200"/>
        <w:jc w:val="left"/>
        <w:rPr>
          <w:rFonts w:hint="eastAsia" w:ascii="仿宋" w:hAnsi="仿宋" w:eastAsia="仿宋" w:cs="仿宋"/>
          <w:snapToGrid/>
          <w:color w:val="auto"/>
          <w:kern w:val="0"/>
          <w:sz w:val="24"/>
          <w:szCs w:val="22"/>
          <w:highlight w:val="none"/>
          <w:lang w:val="en-US" w:eastAsia="zh-CN" w:bidi="ar-SA"/>
        </w:rPr>
      </w:pPr>
      <w:r>
        <w:rPr>
          <w:rFonts w:hint="eastAsia" w:ascii="仿宋" w:hAnsi="仿宋" w:eastAsia="仿宋" w:cs="仿宋"/>
          <w:snapToGrid w:val="0"/>
          <w:color w:val="auto"/>
          <w:sz w:val="24"/>
          <w:szCs w:val="24"/>
          <w:highlight w:val="none"/>
          <w:lang w:val="en-US" w:eastAsia="zh-CN"/>
        </w:rPr>
        <w:t>2.</w:t>
      </w:r>
      <w:r>
        <w:rPr>
          <w:rFonts w:hint="eastAsia" w:ascii="仿宋" w:hAnsi="仿宋" w:eastAsia="仿宋" w:cs="仿宋"/>
          <w:snapToGrid w:val="0"/>
          <w:color w:val="auto"/>
          <w:sz w:val="24"/>
          <w:szCs w:val="24"/>
          <w:highlight w:val="none"/>
          <w:lang w:eastAsia="zh-Hans"/>
        </w:rPr>
        <w:t>若</w:t>
      </w:r>
      <w:r>
        <w:rPr>
          <w:rFonts w:hint="eastAsia" w:ascii="仿宋" w:hAnsi="仿宋" w:eastAsia="仿宋" w:cs="仿宋"/>
          <w:snapToGrid w:val="0"/>
          <w:color w:val="auto"/>
          <w:sz w:val="24"/>
          <w:szCs w:val="24"/>
          <w:highlight w:val="none"/>
          <w:lang w:eastAsia="zh-CN"/>
        </w:rPr>
        <w:t>成交</w:t>
      </w:r>
      <w:r>
        <w:rPr>
          <w:rFonts w:hint="eastAsia" w:ascii="仿宋" w:hAnsi="仿宋" w:eastAsia="仿宋" w:cs="仿宋"/>
          <w:snapToGrid w:val="0"/>
          <w:color w:val="auto"/>
          <w:sz w:val="24"/>
          <w:szCs w:val="24"/>
          <w:highlight w:val="none"/>
          <w:lang w:eastAsia="zh-Hans"/>
        </w:rPr>
        <w:t>供应商提交的投标(响应)文件存在虚假材料或虚假响应的情况，</w:t>
      </w:r>
      <w:r>
        <w:rPr>
          <w:rFonts w:hint="eastAsia" w:ascii="仿宋" w:hAnsi="仿宋" w:eastAsia="仿宋" w:cs="仿宋"/>
          <w:snapToGrid w:val="0"/>
          <w:color w:val="auto"/>
          <w:sz w:val="24"/>
          <w:szCs w:val="24"/>
          <w:highlight w:val="none"/>
          <w:lang w:eastAsia="zh-CN"/>
        </w:rPr>
        <w:t>成交</w:t>
      </w:r>
      <w:r>
        <w:rPr>
          <w:rFonts w:hint="eastAsia" w:ascii="仿宋" w:hAnsi="仿宋" w:eastAsia="仿宋" w:cs="仿宋"/>
          <w:snapToGrid w:val="0"/>
          <w:color w:val="auto"/>
          <w:sz w:val="24"/>
          <w:szCs w:val="24"/>
          <w:highlight w:val="none"/>
          <w:lang w:eastAsia="zh-Hans"/>
        </w:rPr>
        <w:t>供应商应向采购人支付</w:t>
      </w:r>
      <w:r>
        <w:rPr>
          <w:rFonts w:hint="eastAsia" w:ascii="仿宋" w:hAnsi="仿宋" w:eastAsia="仿宋" w:cs="仿宋"/>
          <w:snapToGrid w:val="0"/>
          <w:color w:val="auto"/>
          <w:sz w:val="24"/>
          <w:szCs w:val="24"/>
          <w:highlight w:val="none"/>
          <w:lang w:val="en-US" w:eastAsia="zh-Hans"/>
        </w:rPr>
        <w:t>本</w:t>
      </w:r>
      <w:r>
        <w:rPr>
          <w:rFonts w:hint="eastAsia" w:ascii="仿宋" w:hAnsi="仿宋" w:eastAsia="仿宋" w:cs="仿宋"/>
          <w:snapToGrid w:val="0"/>
          <w:color w:val="auto"/>
          <w:sz w:val="24"/>
          <w:szCs w:val="24"/>
          <w:highlight w:val="none"/>
          <w:lang w:eastAsia="zh-Hans"/>
        </w:rPr>
        <w:t>项目预算金额的 30%</w:t>
      </w:r>
      <w:r>
        <w:rPr>
          <w:rFonts w:hint="eastAsia" w:ascii="仿宋" w:hAnsi="仿宋" w:eastAsia="仿宋" w:cs="仿宋"/>
          <w:snapToGrid w:val="0"/>
          <w:color w:val="auto"/>
          <w:sz w:val="24"/>
          <w:szCs w:val="24"/>
          <w:highlight w:val="none"/>
          <w:lang w:val="en-US" w:eastAsia="zh-Hans"/>
        </w:rPr>
        <w:t>作为</w:t>
      </w:r>
      <w:r>
        <w:rPr>
          <w:rFonts w:hint="eastAsia" w:ascii="仿宋" w:hAnsi="仿宋" w:eastAsia="仿宋" w:cs="仿宋"/>
          <w:snapToGrid w:val="0"/>
          <w:color w:val="auto"/>
          <w:sz w:val="24"/>
          <w:szCs w:val="24"/>
          <w:highlight w:val="none"/>
          <w:lang w:eastAsia="zh-Hans"/>
        </w:rPr>
        <w:t>赔偿金。</w:t>
      </w:r>
    </w:p>
    <w:p w14:paraId="26B013D5">
      <w:pPr>
        <w:pStyle w:val="2"/>
        <w:spacing w:line="240" w:lineRule="auto"/>
        <w:rPr>
          <w:rFonts w:hint="eastAsia" w:ascii="仿宋" w:hAnsi="仿宋" w:eastAsia="仿宋" w:cs="仿宋"/>
          <w:b/>
          <w:bCs/>
          <w:sz w:val="32"/>
          <w:szCs w:val="28"/>
          <w:highlight w:val="none"/>
          <w:lang w:val="en-US" w:eastAsia="zh-CN" w:bidi="ar-SA"/>
        </w:rPr>
      </w:pPr>
      <w:r>
        <w:rPr>
          <w:rFonts w:hint="eastAsia" w:ascii="仿宋" w:hAnsi="仿宋" w:eastAsia="仿宋" w:cs="仿宋"/>
          <w:b w:val="0"/>
          <w:bCs w:val="0"/>
          <w:snapToGrid/>
          <w:color w:val="auto"/>
          <w:kern w:val="0"/>
          <w:sz w:val="30"/>
          <w:szCs w:val="30"/>
          <w:highlight w:val="none"/>
          <w:lang w:val="en-US" w:eastAsia="zh-CN" w:bidi="ar-SA"/>
        </w:rPr>
        <w:t>★</w:t>
      </w:r>
      <w:r>
        <w:rPr>
          <w:rFonts w:hint="eastAsia" w:ascii="仿宋" w:hAnsi="仿宋" w:eastAsia="仿宋" w:cs="仿宋"/>
          <w:b/>
          <w:bCs/>
          <w:sz w:val="30"/>
          <w:szCs w:val="30"/>
          <w:highlight w:val="none"/>
          <w:lang w:val="en-US" w:eastAsia="zh-CN" w:bidi="ar-SA"/>
        </w:rPr>
        <w:t>四、</w:t>
      </w:r>
      <w:r>
        <w:rPr>
          <w:rFonts w:hint="eastAsia" w:ascii="仿宋" w:hAnsi="仿宋" w:eastAsia="仿宋" w:cs="仿宋"/>
          <w:b/>
          <w:bCs/>
          <w:sz w:val="30"/>
          <w:szCs w:val="30"/>
          <w:highlight w:val="none"/>
        </w:rPr>
        <w:t>违约责任与解决争议的方法</w:t>
      </w:r>
    </w:p>
    <w:p w14:paraId="086FFEE2">
      <w:pPr>
        <w:pStyle w:val="2"/>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color w:val="auto"/>
          <w:sz w:val="24"/>
          <w:szCs w:val="24"/>
          <w:highlight w:val="none"/>
          <w:shd w:val="clear" w:color="auto" w:fill="auto"/>
          <w:lang w:val="en-US" w:eastAsia="zh-CN"/>
        </w:rPr>
        <w:t>（一）</w:t>
      </w:r>
      <w:bookmarkStart w:id="11" w:name="OLE_LINK3"/>
      <w:r>
        <w:rPr>
          <w:rFonts w:hint="eastAsia" w:ascii="仿宋" w:hAnsi="仿宋" w:eastAsia="仿宋" w:cs="仿宋"/>
          <w:color w:val="auto"/>
          <w:sz w:val="24"/>
          <w:szCs w:val="24"/>
          <w:highlight w:val="none"/>
          <w:shd w:val="clear" w:color="auto" w:fill="auto"/>
        </w:rPr>
        <w:t>违约责任与解决争议的方法</w:t>
      </w:r>
      <w:bookmarkEnd w:id="11"/>
      <w:r>
        <w:rPr>
          <w:rFonts w:hint="eastAsia" w:ascii="仿宋" w:hAnsi="仿宋" w:eastAsia="仿宋" w:cs="仿宋"/>
          <w:color w:val="auto"/>
          <w:sz w:val="24"/>
          <w:szCs w:val="24"/>
          <w:highlight w:val="none"/>
          <w:shd w:val="clear" w:color="auto" w:fill="auto"/>
        </w:rPr>
        <w:t>：</w:t>
      </w:r>
    </w:p>
    <w:p w14:paraId="49E73F23">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由于供应商违反合同中所约定之内容，不能按时完成服务目标的，采购人有权要求供应商在规定时间内整改。若供应商两次未于采购人规定的整改期限内完成整改的，采购人有权终止合同。造成采购人经济损失的，供应商应当予以赔偿。</w:t>
      </w:r>
    </w:p>
    <w:p w14:paraId="423744FB">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2.供应商不能按时提供服务或逾期提供服务的，每逾期1日应向采购人偿付合同总金额的1‰的违约金；逾期超过15日的，采购人有权单方面解除采购合同，供应商应按合同总金额的30%向采购人偿付违约金。</w:t>
      </w:r>
    </w:p>
    <w:p w14:paraId="78C9EC20">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因供应商违反合同约定提供的服务不到位或服务延迟，造成采购人被监管部门通报或行政处罚予以罚款的，该罚款由供应商承担，若采购人先行垫付的，有权向供应商追偿。除此之外，供应商应当向采购人支付合同总金额的30%的违约金。</w:t>
      </w:r>
    </w:p>
    <w:p w14:paraId="3FF1A3D6">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4.供应商明确表示或以自己的行为表明不履行合同义务的，应当向采购人支付合同总金额30%的违约金，同时甲方有权单方面解除本合同。</w:t>
      </w:r>
    </w:p>
    <w:p w14:paraId="3391E614">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合同生效后，双方均应全面履行合同约定的义务。任何一方不履行或不完全履行合同约定义务的，应当承担相应的违约责任，并赔偿由此给守约方造成的全部损失，包括但不限于守约方为实现债权而支付的律师费、保全费、诉讼费、公证费、鉴定费等。</w:t>
      </w:r>
    </w:p>
    <w:p w14:paraId="410BD33E">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6.供应商擅自变更、中止、终止、解除合同的，应按合同总金额30%支付违约金，同时采购人有权单方面解除采购合同。</w:t>
      </w:r>
    </w:p>
    <w:p w14:paraId="705D3606">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shd w:val="clear" w:color="auto" w:fill="auto"/>
          <w:lang w:val="en-US" w:eastAsia="zh-CN"/>
        </w:rPr>
        <w:t>7.供应商应</w:t>
      </w:r>
      <w:r>
        <w:rPr>
          <w:rFonts w:hint="eastAsia" w:ascii="仿宋" w:hAnsi="仿宋" w:eastAsia="仿宋" w:cs="仿宋"/>
          <w:sz w:val="24"/>
          <w:szCs w:val="24"/>
          <w:highlight w:val="none"/>
          <w:shd w:val="clear" w:color="auto" w:fill="auto"/>
        </w:rPr>
        <w:t>保证其提供的服务未侵犯第三人之著作权、商标权、专利权等知识产权及肖像权、名誉权、个人信息等其他合法权益，不会侵犯任何第三人的商业秘密或对任何第三人构成不正当竞争，如因此与第三人发生争议、诉讼或仲裁案件，由</w:t>
      </w:r>
      <w:r>
        <w:rPr>
          <w:rFonts w:hint="eastAsia" w:ascii="仿宋" w:hAnsi="仿宋" w:eastAsia="仿宋" w:cs="仿宋"/>
          <w:sz w:val="24"/>
          <w:szCs w:val="24"/>
          <w:highlight w:val="none"/>
          <w:shd w:val="clear" w:color="auto" w:fill="auto"/>
          <w:lang w:val="en-US" w:eastAsia="zh-CN"/>
        </w:rPr>
        <w:t>供应商</w:t>
      </w:r>
      <w:r>
        <w:rPr>
          <w:rFonts w:hint="eastAsia" w:ascii="仿宋" w:hAnsi="仿宋" w:eastAsia="仿宋" w:cs="仿宋"/>
          <w:sz w:val="24"/>
          <w:szCs w:val="24"/>
          <w:highlight w:val="none"/>
          <w:shd w:val="clear" w:color="auto" w:fill="auto"/>
        </w:rPr>
        <w:t>承担全部责任，并负责赔偿</w:t>
      </w:r>
      <w:r>
        <w:rPr>
          <w:rFonts w:hint="eastAsia" w:ascii="仿宋" w:hAnsi="仿宋" w:eastAsia="仿宋" w:cs="仿宋"/>
          <w:sz w:val="24"/>
          <w:szCs w:val="24"/>
          <w:highlight w:val="none"/>
          <w:shd w:val="clear" w:color="auto" w:fill="auto"/>
          <w:lang w:val="en-US" w:eastAsia="zh-CN"/>
        </w:rPr>
        <w:t>采购人</w:t>
      </w:r>
      <w:r>
        <w:rPr>
          <w:rFonts w:hint="eastAsia" w:ascii="仿宋" w:hAnsi="仿宋" w:eastAsia="仿宋" w:cs="仿宋"/>
          <w:sz w:val="24"/>
          <w:szCs w:val="24"/>
          <w:highlight w:val="none"/>
          <w:shd w:val="clear" w:color="auto" w:fill="auto"/>
        </w:rPr>
        <w:t>由此而遭受的全部损失。</w:t>
      </w:r>
    </w:p>
    <w:p w14:paraId="6A90AF54">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8.合同所涉各类违约金应于30日内支付。</w:t>
      </w:r>
    </w:p>
    <w:p w14:paraId="5765F032">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（二）</w:t>
      </w:r>
      <w:r>
        <w:rPr>
          <w:rFonts w:hint="eastAsia" w:ascii="仿宋" w:hAnsi="仿宋" w:eastAsia="仿宋" w:cs="仿宋"/>
          <w:sz w:val="24"/>
          <w:szCs w:val="24"/>
          <w:highlight w:val="none"/>
        </w:rPr>
        <w:t>争议解决办法：</w:t>
      </w:r>
    </w:p>
    <w:p w14:paraId="4163C3B8">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outlineLvl w:val="9"/>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因服务质量问题发生的争议，由</w:t>
      </w:r>
      <w:r>
        <w:rPr>
          <w:rFonts w:hint="eastAsia" w:ascii="仿宋" w:hAnsi="仿宋" w:eastAsia="仿宋" w:cs="仿宋"/>
          <w:sz w:val="24"/>
          <w:szCs w:val="24"/>
          <w:highlight w:val="none"/>
          <w:lang w:eastAsia="zh-CN"/>
        </w:rPr>
        <w:t>国家</w:t>
      </w:r>
      <w:r>
        <w:rPr>
          <w:rFonts w:hint="eastAsia" w:ascii="仿宋" w:hAnsi="仿宋" w:eastAsia="仿宋" w:cs="仿宋"/>
          <w:sz w:val="24"/>
          <w:szCs w:val="24"/>
          <w:highlight w:val="none"/>
        </w:rPr>
        <w:t>认可的质量鉴定机构进行质量鉴定。</w:t>
      </w:r>
      <w:r>
        <w:rPr>
          <w:rFonts w:hint="eastAsia" w:ascii="仿宋" w:hAnsi="仿宋" w:eastAsia="仿宋" w:cs="仿宋"/>
          <w:sz w:val="24"/>
          <w:szCs w:val="24"/>
          <w:highlight w:val="none"/>
          <w:lang w:eastAsia="zh-CN"/>
        </w:rPr>
        <w:t>服务质量</w:t>
      </w:r>
      <w:r>
        <w:rPr>
          <w:rFonts w:hint="eastAsia" w:ascii="仿宋" w:hAnsi="仿宋" w:eastAsia="仿宋" w:cs="仿宋"/>
          <w:sz w:val="24"/>
          <w:szCs w:val="24"/>
          <w:highlight w:val="none"/>
        </w:rPr>
        <w:t>符合标准的，鉴定费由采购人承担；</w:t>
      </w:r>
      <w:r>
        <w:rPr>
          <w:rFonts w:hint="eastAsia" w:ascii="仿宋" w:hAnsi="仿宋" w:eastAsia="仿宋" w:cs="仿宋"/>
          <w:sz w:val="24"/>
          <w:szCs w:val="24"/>
          <w:highlight w:val="none"/>
          <w:lang w:eastAsia="zh-CN"/>
        </w:rPr>
        <w:t>服务质量</w:t>
      </w:r>
      <w:r>
        <w:rPr>
          <w:rFonts w:hint="eastAsia" w:ascii="仿宋" w:hAnsi="仿宋" w:eastAsia="仿宋" w:cs="仿宋"/>
          <w:sz w:val="24"/>
          <w:szCs w:val="24"/>
          <w:highlight w:val="none"/>
        </w:rPr>
        <w:t>不符合标准的，鉴定费由供应商承担。</w:t>
      </w:r>
    </w:p>
    <w:p w14:paraId="0BABD304">
      <w:pPr>
        <w:pStyle w:val="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outlineLvl w:val="9"/>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合同履行期间，若双方发生争议，可协商或由有关部门调解解决，协商或调解不成的，可向</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所在地人民法院依法提起诉讼。</w:t>
      </w:r>
    </w:p>
    <w:p w14:paraId="6F27A2B2">
      <w:pPr>
        <w:pStyle w:val="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在诉讼期间，除正在进行诉讼部分外，合同其他部分继续执行。</w:t>
      </w:r>
    </w:p>
    <w:p w14:paraId="78BC6809">
      <w:pPr>
        <w:numPr>
          <w:ilvl w:val="0"/>
          <w:numId w:val="0"/>
        </w:numPr>
        <w:spacing w:line="240" w:lineRule="auto"/>
        <w:rPr>
          <w:rFonts w:hint="eastAsia" w:ascii="仿宋" w:hAnsi="仿宋" w:eastAsia="仿宋" w:cs="仿宋"/>
          <w:b/>
          <w:bCs/>
          <w:sz w:val="32"/>
          <w:szCs w:val="28"/>
          <w:highlight w:val="none"/>
          <w:lang w:val="en-US" w:eastAsia="zh-CN" w:bidi="ar-SA"/>
        </w:rPr>
      </w:pPr>
      <w:r>
        <w:rPr>
          <w:rFonts w:hint="eastAsia" w:ascii="仿宋" w:hAnsi="仿宋" w:eastAsia="仿宋" w:cs="仿宋"/>
          <w:b w:val="0"/>
          <w:bCs w:val="0"/>
          <w:snapToGrid/>
          <w:color w:val="auto"/>
          <w:kern w:val="0"/>
          <w:sz w:val="30"/>
          <w:szCs w:val="30"/>
          <w:highlight w:val="none"/>
          <w:lang w:val="en-US" w:eastAsia="zh-CN" w:bidi="ar-SA"/>
        </w:rPr>
        <w:t>★</w:t>
      </w:r>
      <w:r>
        <w:rPr>
          <w:rFonts w:hint="eastAsia" w:ascii="仿宋" w:hAnsi="仿宋" w:eastAsia="仿宋" w:cs="仿宋"/>
          <w:b/>
          <w:bCs/>
          <w:sz w:val="30"/>
          <w:szCs w:val="30"/>
          <w:highlight w:val="none"/>
          <w:lang w:val="en-US" w:eastAsia="zh-CN" w:bidi="ar-SA"/>
        </w:rPr>
        <w:t>五、履约验收方案</w:t>
      </w:r>
    </w:p>
    <w:p w14:paraId="497323DB">
      <w:pPr>
        <w:spacing w:line="240" w:lineRule="auto"/>
        <w:ind w:firstLine="240" w:firstLineChars="100"/>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（一）</w:t>
      </w:r>
      <w:r>
        <w:rPr>
          <w:rFonts w:hint="eastAsia" w:ascii="仿宋" w:hAnsi="仿宋" w:eastAsia="仿宋" w:cs="仿宋"/>
          <w:sz w:val="24"/>
          <w:szCs w:val="24"/>
          <w:highlight w:val="none"/>
          <w:lang w:eastAsia="zh-CN"/>
        </w:rPr>
        <w:t>履约验收程序：</w:t>
      </w:r>
      <w:r>
        <w:rPr>
          <w:rFonts w:hint="eastAsia" w:ascii="仿宋" w:hAnsi="仿宋" w:eastAsia="仿宋" w:cs="仿宋"/>
          <w:sz w:val="24"/>
          <w:szCs w:val="24"/>
          <w:highlight w:val="none"/>
          <w:lang w:val="en-US" w:eastAsia="zh-CN"/>
        </w:rPr>
        <w:t>每月按合同约定验收一次。</w:t>
      </w:r>
    </w:p>
    <w:p w14:paraId="12A0AD53">
      <w:pPr>
        <w:spacing w:line="240" w:lineRule="auto"/>
        <w:ind w:firstLine="240" w:firstLineChars="100"/>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lang w:eastAsia="zh-CN"/>
        </w:rPr>
        <w:t>履约验收时间：</w:t>
      </w:r>
      <w:r>
        <w:rPr>
          <w:rFonts w:hint="eastAsia" w:ascii="仿宋" w:hAnsi="仿宋" w:eastAsia="仿宋" w:cs="仿宋"/>
          <w:sz w:val="24"/>
          <w:szCs w:val="24"/>
          <w:highlight w:val="none"/>
          <w:lang w:val="en-US" w:eastAsia="zh-CN"/>
        </w:rPr>
        <w:t>每月供应商提供检测报告和巡检记录后7日内验收。</w:t>
      </w:r>
    </w:p>
    <w:p w14:paraId="6D3AE622">
      <w:pPr>
        <w:spacing w:line="240" w:lineRule="auto"/>
        <w:ind w:firstLine="240" w:firstLineChars="100"/>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（三）</w:t>
      </w:r>
      <w:r>
        <w:rPr>
          <w:rFonts w:hint="eastAsia" w:ascii="仿宋" w:hAnsi="仿宋" w:eastAsia="仿宋" w:cs="仿宋"/>
          <w:sz w:val="24"/>
          <w:szCs w:val="24"/>
          <w:highlight w:val="none"/>
          <w:lang w:eastAsia="zh-CN"/>
        </w:rPr>
        <w:t>技术履约验收内容：按照采购文件、采购合同及成交供应商响应文件中的技术和服务要求约定标准。</w:t>
      </w:r>
    </w:p>
    <w:p w14:paraId="4A47BD95">
      <w:pPr>
        <w:spacing w:line="240" w:lineRule="auto"/>
        <w:ind w:firstLine="240" w:firstLineChars="100"/>
        <w:textAlignment w:val="baseline"/>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（四）</w:t>
      </w:r>
      <w:r>
        <w:rPr>
          <w:rFonts w:hint="eastAsia" w:ascii="仿宋" w:hAnsi="仿宋" w:eastAsia="仿宋" w:cs="仿宋"/>
          <w:sz w:val="24"/>
          <w:szCs w:val="24"/>
          <w:highlight w:val="none"/>
          <w:lang w:eastAsia="zh-CN"/>
        </w:rPr>
        <w:t>商务履约验收内容：按照采购文件、采购合同及成交供应商响应文件中的商务要求约定标准。</w:t>
      </w:r>
    </w:p>
    <w:p w14:paraId="6CF3395C">
      <w:pPr>
        <w:ind w:firstLine="240" w:firstLineChars="100"/>
      </w:pPr>
      <w:r>
        <w:rPr>
          <w:rFonts w:hint="eastAsia" w:ascii="仿宋" w:hAnsi="仿宋" w:eastAsia="仿宋" w:cs="仿宋"/>
          <w:sz w:val="24"/>
          <w:szCs w:val="24"/>
          <w:highlight w:val="none"/>
          <w:lang w:val="en-US" w:eastAsia="zh-CN"/>
        </w:rPr>
        <w:t>（五）</w:t>
      </w:r>
      <w:r>
        <w:rPr>
          <w:rFonts w:hint="eastAsia" w:ascii="仿宋" w:hAnsi="仿宋" w:eastAsia="仿宋" w:cs="仿宋"/>
          <w:sz w:val="24"/>
          <w:szCs w:val="24"/>
          <w:highlight w:val="none"/>
          <w:lang w:eastAsia="zh-CN"/>
        </w:rPr>
        <w:t>履约</w:t>
      </w:r>
      <w:r>
        <w:rPr>
          <w:rFonts w:hint="eastAsia" w:ascii="仿宋" w:hAnsi="仿宋" w:eastAsia="仿宋" w:cs="仿宋"/>
          <w:sz w:val="24"/>
          <w:szCs w:val="24"/>
          <w:highlight w:val="none"/>
          <w:lang w:val="en-US" w:eastAsia="zh-CN"/>
        </w:rPr>
        <w:t>验</w:t>
      </w:r>
      <w:r>
        <w:rPr>
          <w:rFonts w:hint="eastAsia" w:ascii="仿宋" w:hAnsi="仿宋" w:eastAsia="仿宋" w:cs="仿宋"/>
          <w:sz w:val="24"/>
          <w:szCs w:val="24"/>
          <w:highlight w:val="none"/>
          <w:lang w:eastAsia="zh-CN"/>
        </w:rPr>
        <w:t>收标准：按照</w:t>
      </w:r>
      <w:r>
        <w:rPr>
          <w:rFonts w:hint="eastAsia" w:ascii="仿宋" w:hAnsi="仿宋" w:eastAsia="仿宋" w:cs="仿宋"/>
          <w:sz w:val="24"/>
          <w:szCs w:val="24"/>
          <w:highlight w:val="none"/>
          <w:lang w:val="en-US" w:eastAsia="zh-CN"/>
        </w:rPr>
        <w:t>国家相关标准和</w:t>
      </w:r>
      <w:r>
        <w:rPr>
          <w:rFonts w:hint="eastAsia" w:ascii="仿宋" w:hAnsi="仿宋" w:eastAsia="仿宋" w:cs="仿宋"/>
          <w:sz w:val="24"/>
          <w:szCs w:val="24"/>
          <w:highlight w:val="none"/>
          <w:lang w:eastAsia="zh-CN"/>
        </w:rPr>
        <w:t>合同约定标</w:t>
      </w:r>
      <w:bookmarkStart w:id="12" w:name="_GoBack"/>
      <w:bookmarkEnd w:id="12"/>
      <w:r>
        <w:rPr>
          <w:rFonts w:hint="eastAsia" w:ascii="仿宋" w:hAnsi="仿宋" w:eastAsia="仿宋" w:cs="仿宋"/>
          <w:sz w:val="24"/>
          <w:szCs w:val="24"/>
          <w:highlight w:val="none"/>
          <w:lang w:eastAsia="zh-CN"/>
        </w:rPr>
        <w:t>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6253E">
    <w:pPr>
      <w:spacing w:before="1" w:line="184" w:lineRule="auto"/>
      <w:rPr>
        <w:rFonts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9A6B8BC">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9A6B8B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6F3F91"/>
    <w:rsid w:val="2AA1723B"/>
    <w:rsid w:val="412349E8"/>
    <w:rsid w:val="494A5346"/>
    <w:rsid w:val="4B4163CF"/>
    <w:rsid w:val="6BA544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ascii="Times New Roman" w:eastAsia="Times New Roman"/>
      <w:sz w:val="20"/>
    </w:rPr>
  </w:style>
  <w:style w:type="paragraph" w:styleId="3">
    <w:name w:val="footer"/>
    <w:basedOn w:val="1"/>
    <w:qFormat/>
    <w:uiPriority w:val="0"/>
    <w:pPr>
      <w:tabs>
        <w:tab w:val="center" w:pos="4153"/>
        <w:tab w:val="right" w:pos="8306"/>
      </w:tabs>
      <w:snapToGrid w:val="0"/>
      <w:jc w:val="left"/>
    </w:pPr>
    <w:rPr>
      <w:sz w:val="18"/>
      <w:szCs w:val="20"/>
    </w:rPr>
  </w:style>
  <w:style w:type="paragraph" w:styleId="4">
    <w:name w:val="index 1"/>
    <w:basedOn w:val="1"/>
    <w:next w:val="1"/>
    <w:qFormat/>
    <w:uiPriority w:val="0"/>
    <w:pPr>
      <w:widowControl w:val="0"/>
      <w:kinsoku w:val="0"/>
      <w:autoSpaceDE w:val="0"/>
      <w:autoSpaceDN w:val="0"/>
      <w:adjustRightInd w:val="0"/>
      <w:snapToGrid w:val="0"/>
      <w:ind w:firstLine="5632"/>
      <w:jc w:val="both"/>
      <w:textAlignment w:val="baseline"/>
    </w:pPr>
    <w:rPr>
      <w:rFonts w:ascii="Calibri" w:hAnsi="Calibri" w:eastAsia="宋体" w:cs="Times New Roman"/>
      <w:snapToGrid w:val="0"/>
      <w:color w:val="000000"/>
      <w:kern w:val="2"/>
      <w:sz w:val="21"/>
      <w:szCs w:val="24"/>
      <w:lang w:val="en-US" w:eastAsia="zh-CN" w:bidi="ar-SA"/>
    </w:rPr>
  </w:style>
  <w:style w:type="paragraph" w:styleId="5">
    <w:name w:val="Body Text First Indent"/>
    <w:basedOn w:val="2"/>
    <w:qFormat/>
    <w:uiPriority w:val="99"/>
    <w:pPr>
      <w:tabs>
        <w:tab w:val="left" w:pos="780"/>
      </w:tabs>
      <w:spacing w:after="120"/>
      <w:ind w:firstLine="420" w:firstLineChars="100"/>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3758</Words>
  <Characters>4057</Characters>
  <Lines>0</Lines>
  <Paragraphs>0</Paragraphs>
  <TotalTime>0</TotalTime>
  <ScaleCrop>false</ScaleCrop>
  <LinksUpToDate>false</LinksUpToDate>
  <CharactersWithSpaces>4074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2026-01-08T07:58:00Z</dcterms:created>
  <dc:creator>Administrator</dc:creator>
  <cp:lastModifiedBy>gg</cp:lastModifiedBy>
  <dcterms:modified xsi:type="dcterms:W3CDTF">2026-08-03T00:54:43Z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eyJoZGlkIjoiZWJmZjlhZTRlMDBlZTAzMWQyYjYxZDFmZGI1MWY5ODUiLCJ1c2VySWQiOiI0MDk3MTE3ODQifQ==</vt:lpwstr>
  </property>
  <property fmtid="{D5CDD505-2E9C-101B-9397-08002B2CF9AE}" pid="4" name="ICV">
    <vt:lpwstr>14A2421C24BC4E3D8E793208E99BA9F4_12</vt:lpwstr>
  </property>
</Properties>
</file>