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96F88">
      <w:pPr>
        <w:pStyle w:val="4"/>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7B045267">
      <w:pPr>
        <w:pStyle w:val="4"/>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6F4291B8">
      <w:pPr>
        <w:pStyle w:val="4"/>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6"/>
        <w:gridCol w:w="532"/>
        <w:gridCol w:w="790"/>
        <w:gridCol w:w="1400"/>
        <w:gridCol w:w="1369"/>
        <w:gridCol w:w="1069"/>
        <w:gridCol w:w="1177"/>
        <w:gridCol w:w="1756"/>
      </w:tblGrid>
      <w:tr w14:paraId="54D5FD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50" w:type="pct"/>
            <w:vAlign w:val="center"/>
          </w:tcPr>
          <w:p w14:paraId="21A0FAAD">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包号</w:t>
            </w:r>
          </w:p>
        </w:tc>
        <w:tc>
          <w:tcPr>
            <w:tcW w:w="312" w:type="pct"/>
            <w:vAlign w:val="center"/>
          </w:tcPr>
          <w:p w14:paraId="7A846D4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编号</w:t>
            </w:r>
          </w:p>
        </w:tc>
        <w:tc>
          <w:tcPr>
            <w:tcW w:w="463" w:type="pct"/>
            <w:vAlign w:val="center"/>
          </w:tcPr>
          <w:p w14:paraId="20ABF33C">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部门</w:t>
            </w:r>
          </w:p>
        </w:tc>
        <w:tc>
          <w:tcPr>
            <w:tcW w:w="821" w:type="pct"/>
            <w:vAlign w:val="center"/>
          </w:tcPr>
          <w:p w14:paraId="1582BBD2">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标的名称</w:t>
            </w:r>
          </w:p>
        </w:tc>
        <w:tc>
          <w:tcPr>
            <w:tcW w:w="803" w:type="pct"/>
            <w:vAlign w:val="center"/>
          </w:tcPr>
          <w:p w14:paraId="08E7368E">
            <w:pPr>
              <w:pStyle w:val="4"/>
              <w:jc w:val="center"/>
              <w:rPr>
                <w:rFonts w:hint="eastAsia" w:ascii="仿宋" w:hAnsi="仿宋" w:eastAsia="仿宋" w:cs="仿宋"/>
                <w:sz w:val="21"/>
                <w:szCs w:val="21"/>
                <w:lang w:val="en-US" w:eastAsia="zh-CN"/>
              </w:rPr>
            </w:pPr>
            <w:r>
              <w:rPr>
                <w:rFonts w:hint="eastAsia" w:ascii="仿宋" w:hAnsi="仿宋" w:eastAsia="仿宋" w:cs="仿宋"/>
                <w:highlight w:val="none"/>
              </w:rPr>
              <w:t>★</w:t>
            </w:r>
            <w:r>
              <w:rPr>
                <w:rFonts w:hint="eastAsia" w:ascii="仿宋" w:hAnsi="仿宋" w:eastAsia="仿宋" w:cs="仿宋"/>
                <w:sz w:val="21"/>
                <w:szCs w:val="21"/>
                <w:lang w:val="en-US" w:eastAsia="zh-CN"/>
              </w:rPr>
              <w:t>单价最高限价（元）</w:t>
            </w:r>
          </w:p>
        </w:tc>
        <w:tc>
          <w:tcPr>
            <w:tcW w:w="627" w:type="pct"/>
            <w:vAlign w:val="center"/>
          </w:tcPr>
          <w:p w14:paraId="48458231">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预计数量</w:t>
            </w:r>
          </w:p>
        </w:tc>
        <w:tc>
          <w:tcPr>
            <w:tcW w:w="690" w:type="pct"/>
            <w:vAlign w:val="center"/>
          </w:tcPr>
          <w:p w14:paraId="3581C00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计量单位</w:t>
            </w:r>
          </w:p>
        </w:tc>
        <w:tc>
          <w:tcPr>
            <w:tcW w:w="1030" w:type="pct"/>
            <w:vAlign w:val="center"/>
          </w:tcPr>
          <w:p w14:paraId="659A58D7">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功能和质量要求</w:t>
            </w:r>
          </w:p>
        </w:tc>
      </w:tr>
      <w:tr w14:paraId="1A34F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restart"/>
            <w:vAlign w:val="center"/>
          </w:tcPr>
          <w:p w14:paraId="03A670A0">
            <w:pPr>
              <w:pStyle w:val="4"/>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312" w:type="pct"/>
            <w:vAlign w:val="center"/>
          </w:tcPr>
          <w:p w14:paraId="168711DA">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463" w:type="pct"/>
            <w:vMerge w:val="restart"/>
            <w:vAlign w:val="center"/>
          </w:tcPr>
          <w:p w14:paraId="38A8367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放射</w:t>
            </w:r>
          </w:p>
        </w:tc>
        <w:tc>
          <w:tcPr>
            <w:tcW w:w="821" w:type="pct"/>
            <w:vAlign w:val="center"/>
          </w:tcPr>
          <w:p w14:paraId="441F2EE3">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上岗前</w:t>
            </w:r>
          </w:p>
        </w:tc>
        <w:tc>
          <w:tcPr>
            <w:tcW w:w="803" w:type="pct"/>
            <w:vAlign w:val="center"/>
          </w:tcPr>
          <w:p w14:paraId="34A16E5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600</w:t>
            </w:r>
          </w:p>
        </w:tc>
        <w:tc>
          <w:tcPr>
            <w:tcW w:w="627" w:type="pct"/>
            <w:vAlign w:val="center"/>
          </w:tcPr>
          <w:p w14:paraId="7549F9B1">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70</w:t>
            </w:r>
          </w:p>
        </w:tc>
        <w:tc>
          <w:tcPr>
            <w:tcW w:w="690" w:type="pct"/>
            <w:vAlign w:val="center"/>
          </w:tcPr>
          <w:p w14:paraId="64C3433B">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3610FBF1">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3C132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6E6FA290">
            <w:pPr>
              <w:pStyle w:val="4"/>
              <w:jc w:val="center"/>
              <w:rPr>
                <w:rFonts w:hint="eastAsia" w:ascii="仿宋" w:hAnsi="仿宋" w:eastAsia="仿宋" w:cs="仿宋"/>
                <w:sz w:val="22"/>
                <w:szCs w:val="22"/>
                <w:lang w:val="en-US" w:eastAsia="zh-CN"/>
              </w:rPr>
            </w:pPr>
          </w:p>
        </w:tc>
        <w:tc>
          <w:tcPr>
            <w:tcW w:w="312" w:type="pct"/>
            <w:vAlign w:val="center"/>
          </w:tcPr>
          <w:p w14:paraId="24563DC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463" w:type="pct"/>
            <w:vMerge w:val="continue"/>
            <w:vAlign w:val="center"/>
          </w:tcPr>
          <w:p w14:paraId="4FF0A8D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227C4A8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在岗期间</w:t>
            </w:r>
          </w:p>
        </w:tc>
        <w:tc>
          <w:tcPr>
            <w:tcW w:w="803" w:type="pct"/>
            <w:vAlign w:val="center"/>
          </w:tcPr>
          <w:p w14:paraId="69013B3B">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520</w:t>
            </w:r>
          </w:p>
        </w:tc>
        <w:tc>
          <w:tcPr>
            <w:tcW w:w="627" w:type="pct"/>
            <w:vAlign w:val="center"/>
          </w:tcPr>
          <w:p w14:paraId="05F6CBB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340</w:t>
            </w:r>
          </w:p>
        </w:tc>
        <w:tc>
          <w:tcPr>
            <w:tcW w:w="690" w:type="pct"/>
            <w:vAlign w:val="center"/>
          </w:tcPr>
          <w:p w14:paraId="17A3CBF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338FE62D">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689D3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EF55EFA">
            <w:pPr>
              <w:pStyle w:val="4"/>
              <w:jc w:val="center"/>
              <w:rPr>
                <w:rFonts w:hint="eastAsia" w:ascii="仿宋" w:hAnsi="仿宋" w:eastAsia="仿宋" w:cs="仿宋"/>
                <w:sz w:val="22"/>
                <w:szCs w:val="22"/>
                <w:lang w:val="en-US" w:eastAsia="zh-CN"/>
              </w:rPr>
            </w:pPr>
          </w:p>
        </w:tc>
        <w:tc>
          <w:tcPr>
            <w:tcW w:w="312" w:type="pct"/>
            <w:vAlign w:val="center"/>
          </w:tcPr>
          <w:p w14:paraId="2C63002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463" w:type="pct"/>
            <w:vMerge w:val="continue"/>
            <w:vAlign w:val="center"/>
          </w:tcPr>
          <w:p w14:paraId="26716BED">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2583B7E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离岗时</w:t>
            </w:r>
          </w:p>
        </w:tc>
        <w:tc>
          <w:tcPr>
            <w:tcW w:w="803" w:type="pct"/>
            <w:vAlign w:val="center"/>
          </w:tcPr>
          <w:p w14:paraId="1D8632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600</w:t>
            </w:r>
          </w:p>
        </w:tc>
        <w:tc>
          <w:tcPr>
            <w:tcW w:w="627" w:type="pct"/>
            <w:vAlign w:val="center"/>
          </w:tcPr>
          <w:p w14:paraId="275C004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20</w:t>
            </w:r>
          </w:p>
        </w:tc>
        <w:tc>
          <w:tcPr>
            <w:tcW w:w="690" w:type="pct"/>
            <w:vAlign w:val="center"/>
          </w:tcPr>
          <w:p w14:paraId="38B138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C971C66">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04B42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98266A0">
            <w:pPr>
              <w:pStyle w:val="4"/>
              <w:jc w:val="center"/>
              <w:rPr>
                <w:rFonts w:hint="eastAsia" w:ascii="仿宋" w:hAnsi="仿宋" w:eastAsia="仿宋" w:cs="仿宋"/>
                <w:sz w:val="22"/>
                <w:szCs w:val="22"/>
                <w:lang w:val="en-US" w:eastAsia="zh-CN"/>
              </w:rPr>
            </w:pPr>
          </w:p>
        </w:tc>
        <w:tc>
          <w:tcPr>
            <w:tcW w:w="312" w:type="pct"/>
            <w:vAlign w:val="center"/>
          </w:tcPr>
          <w:p w14:paraId="7AC5AC8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463" w:type="pct"/>
            <w:vMerge w:val="continue"/>
            <w:vAlign w:val="center"/>
          </w:tcPr>
          <w:p w14:paraId="02894D5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0B23402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应急/事故</w:t>
            </w:r>
          </w:p>
        </w:tc>
        <w:tc>
          <w:tcPr>
            <w:tcW w:w="803" w:type="pct"/>
            <w:vAlign w:val="center"/>
          </w:tcPr>
          <w:p w14:paraId="78134EA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520</w:t>
            </w:r>
          </w:p>
        </w:tc>
        <w:tc>
          <w:tcPr>
            <w:tcW w:w="627" w:type="pct"/>
            <w:vAlign w:val="center"/>
          </w:tcPr>
          <w:p w14:paraId="3C9902E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10</w:t>
            </w:r>
          </w:p>
        </w:tc>
        <w:tc>
          <w:tcPr>
            <w:tcW w:w="690" w:type="pct"/>
            <w:vAlign w:val="center"/>
          </w:tcPr>
          <w:p w14:paraId="368AC1F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5FE97C02">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采购方提出检测需求后，供应商需在24小时内完成检测</w:t>
            </w:r>
          </w:p>
        </w:tc>
      </w:tr>
      <w:tr w14:paraId="43D1D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28AFD18">
            <w:pPr>
              <w:pStyle w:val="4"/>
              <w:jc w:val="center"/>
              <w:rPr>
                <w:rFonts w:hint="eastAsia" w:ascii="仿宋" w:hAnsi="仿宋" w:eastAsia="仿宋" w:cs="仿宋"/>
                <w:sz w:val="22"/>
                <w:szCs w:val="22"/>
                <w:lang w:val="en-US" w:eastAsia="zh-CN"/>
              </w:rPr>
            </w:pPr>
          </w:p>
        </w:tc>
        <w:tc>
          <w:tcPr>
            <w:tcW w:w="312" w:type="pct"/>
            <w:vAlign w:val="center"/>
          </w:tcPr>
          <w:p w14:paraId="43E1699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463" w:type="pct"/>
            <w:vMerge w:val="restart"/>
            <w:vAlign w:val="center"/>
          </w:tcPr>
          <w:p w14:paraId="421F355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r>
              <w:rPr>
                <w:rFonts w:hint="eastAsia" w:ascii="仿宋" w:hAnsi="仿宋" w:eastAsia="仿宋" w:cs="仿宋"/>
                <w:b w:val="0"/>
                <w:bCs w:val="0"/>
                <w:color w:val="auto"/>
                <w:sz w:val="20"/>
                <w:szCs w:val="20"/>
                <w:highlight w:val="none"/>
                <w:shd w:val="clear" w:color="auto" w:fill="auto"/>
                <w:lang w:val="en-US" w:eastAsia="zh-CN"/>
              </w:rPr>
              <w:t>病理</w:t>
            </w:r>
          </w:p>
        </w:tc>
        <w:tc>
          <w:tcPr>
            <w:tcW w:w="821" w:type="pct"/>
            <w:vAlign w:val="center"/>
          </w:tcPr>
          <w:p w14:paraId="433D656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上岗前</w:t>
            </w:r>
          </w:p>
        </w:tc>
        <w:tc>
          <w:tcPr>
            <w:tcW w:w="803" w:type="pct"/>
            <w:vAlign w:val="center"/>
          </w:tcPr>
          <w:p w14:paraId="44356FF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4C6BAC7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0D55FC9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0CD28682">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1F098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6172585">
            <w:pPr>
              <w:pStyle w:val="4"/>
              <w:jc w:val="center"/>
              <w:rPr>
                <w:rFonts w:hint="eastAsia" w:ascii="仿宋" w:hAnsi="仿宋" w:eastAsia="仿宋" w:cs="仿宋"/>
                <w:sz w:val="22"/>
                <w:szCs w:val="22"/>
                <w:lang w:val="en-US" w:eastAsia="zh-CN"/>
              </w:rPr>
            </w:pPr>
          </w:p>
        </w:tc>
        <w:tc>
          <w:tcPr>
            <w:tcW w:w="312" w:type="pct"/>
            <w:vAlign w:val="center"/>
          </w:tcPr>
          <w:p w14:paraId="1B02733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463" w:type="pct"/>
            <w:vMerge w:val="continue"/>
            <w:vAlign w:val="center"/>
          </w:tcPr>
          <w:p w14:paraId="59555E29">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748E3CB3">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在岗期间</w:t>
            </w:r>
          </w:p>
        </w:tc>
        <w:tc>
          <w:tcPr>
            <w:tcW w:w="803" w:type="pct"/>
            <w:vAlign w:val="center"/>
          </w:tcPr>
          <w:p w14:paraId="3DD69F5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60BB0DD1">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24</w:t>
            </w:r>
          </w:p>
        </w:tc>
        <w:tc>
          <w:tcPr>
            <w:tcW w:w="690" w:type="pct"/>
            <w:vAlign w:val="center"/>
          </w:tcPr>
          <w:p w14:paraId="416376C6">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2A4F6F24">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28A98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7D285CF6">
            <w:pPr>
              <w:pStyle w:val="4"/>
              <w:jc w:val="center"/>
              <w:rPr>
                <w:rFonts w:hint="eastAsia" w:ascii="仿宋" w:hAnsi="仿宋" w:eastAsia="仿宋" w:cs="仿宋"/>
                <w:sz w:val="22"/>
                <w:szCs w:val="22"/>
                <w:lang w:val="en-US" w:eastAsia="zh-CN"/>
              </w:rPr>
            </w:pPr>
          </w:p>
        </w:tc>
        <w:tc>
          <w:tcPr>
            <w:tcW w:w="312" w:type="pct"/>
            <w:vAlign w:val="center"/>
          </w:tcPr>
          <w:p w14:paraId="55EEFE2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463" w:type="pct"/>
            <w:vMerge w:val="continue"/>
            <w:vAlign w:val="center"/>
          </w:tcPr>
          <w:p w14:paraId="31E8DB4E">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3929F0F0">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离岗时</w:t>
            </w:r>
          </w:p>
        </w:tc>
        <w:tc>
          <w:tcPr>
            <w:tcW w:w="803" w:type="pct"/>
            <w:vAlign w:val="center"/>
          </w:tcPr>
          <w:p w14:paraId="3481085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20FAA337">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0FADF30F">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8C2EEBC">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w:t>
            </w:r>
          </w:p>
        </w:tc>
      </w:tr>
      <w:tr w14:paraId="1E2FF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50" w:type="pct"/>
            <w:vMerge w:val="continue"/>
            <w:vAlign w:val="center"/>
          </w:tcPr>
          <w:p w14:paraId="25F4D9C7">
            <w:pPr>
              <w:pStyle w:val="4"/>
              <w:jc w:val="center"/>
              <w:rPr>
                <w:rFonts w:hint="eastAsia" w:ascii="仿宋" w:hAnsi="仿宋" w:eastAsia="仿宋" w:cs="仿宋"/>
                <w:sz w:val="22"/>
                <w:szCs w:val="22"/>
                <w:lang w:val="en-US" w:eastAsia="zh-CN"/>
              </w:rPr>
            </w:pPr>
          </w:p>
        </w:tc>
        <w:tc>
          <w:tcPr>
            <w:tcW w:w="312" w:type="pct"/>
            <w:vAlign w:val="center"/>
          </w:tcPr>
          <w:p w14:paraId="080DA30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463" w:type="pct"/>
            <w:vMerge w:val="continue"/>
            <w:vAlign w:val="center"/>
          </w:tcPr>
          <w:p w14:paraId="2498088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20"/>
                <w:szCs w:val="20"/>
                <w:highlight w:val="none"/>
                <w:shd w:val="clear" w:color="auto" w:fill="auto"/>
                <w:lang w:val="en-US" w:eastAsia="zh-CN"/>
              </w:rPr>
            </w:pPr>
          </w:p>
        </w:tc>
        <w:tc>
          <w:tcPr>
            <w:tcW w:w="821" w:type="pct"/>
            <w:vAlign w:val="center"/>
          </w:tcPr>
          <w:p w14:paraId="7ABD0674">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应急/事故</w:t>
            </w:r>
          </w:p>
        </w:tc>
        <w:tc>
          <w:tcPr>
            <w:tcW w:w="803" w:type="pct"/>
            <w:vAlign w:val="center"/>
          </w:tcPr>
          <w:p w14:paraId="7F05B4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400</w:t>
            </w:r>
          </w:p>
        </w:tc>
        <w:tc>
          <w:tcPr>
            <w:tcW w:w="627" w:type="pct"/>
            <w:vAlign w:val="center"/>
          </w:tcPr>
          <w:p w14:paraId="6B205E48">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4</w:t>
            </w:r>
          </w:p>
        </w:tc>
        <w:tc>
          <w:tcPr>
            <w:tcW w:w="690" w:type="pct"/>
            <w:vAlign w:val="center"/>
          </w:tcPr>
          <w:p w14:paraId="625FA96A">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人/次</w:t>
            </w:r>
          </w:p>
        </w:tc>
        <w:tc>
          <w:tcPr>
            <w:tcW w:w="1030" w:type="pct"/>
            <w:vAlign w:val="center"/>
          </w:tcPr>
          <w:p w14:paraId="6238D08C">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采购方提出检测需求后，供应商需在24小时内完成检测</w:t>
            </w:r>
          </w:p>
        </w:tc>
      </w:tr>
    </w:tbl>
    <w:p w14:paraId="60CC179F">
      <w:pPr>
        <w:pStyle w:val="4"/>
        <w:jc w:val="left"/>
        <w:rPr>
          <w:rFonts w:hint="default" w:ascii="仿宋" w:hAnsi="仿宋" w:eastAsia="仿宋" w:cs="仿宋"/>
          <w:lang w:val="en-US" w:eastAsia="zh-CN"/>
        </w:rPr>
      </w:pPr>
    </w:p>
    <w:p w14:paraId="180CCACA">
      <w:pPr>
        <w:pStyle w:val="4"/>
        <w:jc w:val="left"/>
        <w:outlineLvl w:val="1"/>
        <w:rPr>
          <w:rFonts w:hint="eastAsia" w:ascii="仿宋" w:hAnsi="仿宋" w:eastAsia="仿宋" w:cs="仿宋"/>
          <w:lang w:eastAsia="zh-CN"/>
        </w:rPr>
      </w:pPr>
      <w:r>
        <w:rPr>
          <w:rFonts w:hint="eastAsia" w:ascii="仿宋" w:hAnsi="仿宋" w:eastAsia="仿宋" w:cs="仿宋"/>
          <w:b/>
          <w:sz w:val="28"/>
          <w:lang w:val="en-US" w:eastAsia="zh-CN"/>
        </w:rPr>
        <w:t>★</w:t>
      </w:r>
      <w:r>
        <w:rPr>
          <w:rFonts w:hint="eastAsia" w:ascii="仿宋" w:hAnsi="仿宋" w:eastAsia="仿宋" w:cs="仿宋"/>
          <w:b/>
          <w:sz w:val="28"/>
        </w:rPr>
        <w:t>3.2.</w:t>
      </w:r>
      <w:r>
        <w:rPr>
          <w:rFonts w:hint="eastAsia" w:ascii="仿宋" w:hAnsi="仿宋" w:eastAsia="仿宋" w:cs="仿宋"/>
          <w:b/>
          <w:sz w:val="28"/>
          <w:lang w:val="en-US" w:eastAsia="zh-CN"/>
        </w:rPr>
        <w:t>技术</w:t>
      </w:r>
      <w:r>
        <w:rPr>
          <w:rFonts w:hint="eastAsia" w:ascii="仿宋" w:hAnsi="仿宋" w:eastAsia="仿宋" w:cs="仿宋"/>
          <w:b/>
          <w:sz w:val="28"/>
        </w:rPr>
        <w:t>要求</w:t>
      </w:r>
    </w:p>
    <w:p w14:paraId="2F7DC7DD">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供应商根据需求提供放射工作人员和病理科工作人员的上岗前、在岗期间、离岗时和应急检查服务。严格遵守《中华人民共和国职业病防治法》《职业健康检查管理办法》《职业健康监护技术规范》《放射工作人员健康要求及监护规范》等相关规范要求开展职业健康检查工作。</w:t>
      </w:r>
    </w:p>
    <w:p w14:paraId="78CA778E">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2.供应商严格按照医疗检测常规保质保量开展检查相关工作，并出具纸质版和电子版的检查报告和检查总结报告，检查的所有项目须独立完成，不得转包和分包。</w:t>
      </w:r>
    </w:p>
    <w:p w14:paraId="0923671C">
      <w:pPr>
        <w:pStyle w:val="4"/>
        <w:keepNext w:val="0"/>
        <w:keepLines w:val="0"/>
        <w:pageBreakBefore w:val="0"/>
        <w:widowControl/>
        <w:kinsoku/>
        <w:wordWrap/>
        <w:overflowPunct/>
        <w:topLinePunct w:val="0"/>
        <w:autoSpaceDE/>
        <w:autoSpaceDN/>
        <w:bidi w:val="0"/>
        <w:adjustRightInd/>
        <w:snapToGrid/>
        <w:ind w:firstLine="440" w:firstLineChars="200"/>
        <w:jc w:val="left"/>
        <w:textAlignment w:val="auto"/>
        <w:outlineLvl w:val="9"/>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3.供应商应对采购方员工的健康信息及相关个人隐私进行保密。</w:t>
      </w:r>
    </w:p>
    <w:p w14:paraId="5425DEB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商务要求</w:t>
      </w:r>
    </w:p>
    <w:p w14:paraId="5DE218B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一、合同履行期限：2026年8月28日起至2028年8月28日止（如在合同履行期间内江市第一人民医院具备了放射工作人员职业健康检查资质则自动终止合同。）</w:t>
      </w:r>
    </w:p>
    <w:p w14:paraId="0C5E42D9">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二、合同履约地点：内江市第一人民医院指定地点</w:t>
      </w:r>
    </w:p>
    <w:p w14:paraId="0BB11881">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三、合同支付约定：保质保量完成职业健康检查工作后，一年结算一次，由供应商开具合法票据，在收到票据后30个工作日内进行付款。</w:t>
      </w:r>
    </w:p>
    <w:p w14:paraId="6CB0CB76">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四、验收交付标准和方法：取得所有检查人员的纸质版和电子版的检查报告和检查总结报告。</w:t>
      </w:r>
    </w:p>
    <w:p w14:paraId="57A7DE33">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highlight w:val="yellow"/>
          <w:u w:val="none"/>
          <w:lang w:val="en-US" w:eastAsia="zh-CN" w:bidi="ar"/>
        </w:rPr>
        <w:t>五、报价要求：本项目采用统一下浮率进行报价，供应商根据标的情况中的各项最高单价限价报出统一下浮率。结算金额=最高单价限价*（1-下浮率%）*实际数量。</w:t>
      </w:r>
    </w:p>
    <w:p w14:paraId="27C2CE8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六、服务要求：</w:t>
      </w:r>
    </w:p>
    <w:p w14:paraId="2990D74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1.供应商必须严格按照采购公告及响应文件中的要求提供职业健康检查服务和体检早餐服务。提供的职业健康检查服务必须符合《职业健康检查管理办法》《职业健康检查技术规范》（GBZ 188）等法律法规和标准规范的要求</w:t>
      </w:r>
    </w:p>
    <w:p w14:paraId="0B00A6C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供应商必须严格按照最新的行业标准与相关的法律法规编写报告，如未按要求的行业标准与相关的法律法规编写报告，采购方有权单方面终止合同，并且供应商全额退还采购方支付的检查服务费，采购方有权追究供应商的法律责任。</w:t>
      </w:r>
    </w:p>
    <w:p w14:paraId="0261DF9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3.供应商实施检查时发现职业禁忌、疑似职业病病人时，应当及时告知受检者和采购方，为检查结果异常人员提供免费复查服务，并开展职业病防治知识宣教，并提供相关指导。</w:t>
      </w:r>
    </w:p>
    <w:p w14:paraId="51C3C4A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4.采购方有应急场景下的职业健康检查要求，供应商须按照采购方要求在规定的时间节点内完成检查并交付报告。</w:t>
      </w:r>
    </w:p>
    <w:p w14:paraId="44F3A32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供应商应能提供院内现场检查服务，或其检查地址应方便我院工作人员前往，并提供体检早餐服务，如检查地址不在内江市城区，供应商应负责有关检查人员自行前往检查的差旅费（按采购方相关差旅补助制度执行）。</w:t>
      </w:r>
    </w:p>
    <w:p w14:paraId="6C5420B5">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6.投入本项目的相关工作人员须具备相应的技术资格证书，且具备三年及以上工作经验。</w:t>
      </w:r>
    </w:p>
    <w:p w14:paraId="3287AFF1">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七、违约责任：</w:t>
      </w:r>
    </w:p>
    <w:p w14:paraId="25F972FA">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（1）供应商如未按要求的行业标准与相关的法律法规编写报告或者出具虚假报告等，采购方有权单方面终止合同，并且供应商应全额退还采购方支付的检查服务费，采购方有权追究供应商的法律责任；</w:t>
      </w:r>
    </w:p>
    <w:p w14:paraId="07B56308">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（2）单个项目未在规定时限内完成，应向采购人支付该单个项目总费用20%的违约金；应急/事故检测未在规定时限内完成，应向采购人支付采购预算10%的违约金。</w:t>
      </w:r>
    </w:p>
    <w:p w14:paraId="659E9A79">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（3）供应商拒不提供服务或不履行其主要合同义务或明示不履行合同义务的，构成根本性违约，应当向采购人支付采购预算30%的违约金，同时采购人有权单方面解除本合同。</w:t>
      </w:r>
    </w:p>
    <w:p w14:paraId="49B5AA52">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（4）供应商擅自变更、中止、终止、解除合同的，应按采购预算金额30%向采购人支付违约金，同时采购人有权单方解除合同。</w:t>
      </w:r>
    </w:p>
    <w:p w14:paraId="0F805B54">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（5）供应商因上述违约行为支付的违约金不足以弥补采购人损失的，还应按采购人实际经济损失足额补足。</w:t>
      </w:r>
    </w:p>
    <w:p w14:paraId="562E86AE">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供应商保证其提供的货物及服务未侵犯第三人之著作权、商标权、专利权等知识产权及肖像权、名誉权、个人信息等其他合法权益，不会侵犯任何第三人的商业秘密或对任何第三人构成不正当竞争，如因此与第三人发生争议、诉讼或仲裁案件，由供应商承担全部责任，并负责赔偿采购人由此而遭受的全部损失。</w:t>
      </w:r>
    </w:p>
    <w:p w14:paraId="40BB892C">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采购合同生效后，双方均应全面履行本合同约定的义务。任何一方不履行或不完全履行本合同约定义务的，应当承担相应的违约责任，并赔偿由此给守约方造成的损失，包括但不限于守约方为实现债权而支付的律师费、保全费、诉讼费、公证费、鉴定费等。</w:t>
      </w:r>
    </w:p>
    <w:p w14:paraId="7214FF2F">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八、争议解决条款：</w:t>
      </w:r>
    </w:p>
    <w:p w14:paraId="67657FDE">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（1）采购合同履行期间，若双方发生争议，可协商或由有关部门调解解决，协商或调解不成的，双方均同意向采购人所在地有管辖权的人民法院提起诉讼。</w:t>
      </w:r>
    </w:p>
    <w:p w14:paraId="61E2AA6D">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（2）在诉讼期间，除正在进行诉讼部分外，合同其他部分继续执行。</w:t>
      </w:r>
    </w:p>
    <w:p w14:paraId="1E0A35EF">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九、缔约过失责任：</w:t>
      </w:r>
    </w:p>
    <w:p w14:paraId="310A4FC7">
      <w:pPr>
        <w:pStyle w:val="4"/>
        <w:ind w:firstLine="480"/>
        <w:jc w:val="left"/>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（1）供应商无正当理由未能在规定时间内与采购人签订合同的，需向采购人支付中标（成交）金额20%的赔偿金。赔偿金不足以弥补采购人全部损失的，还应赔偿采购人全部损失；</w:t>
      </w:r>
    </w:p>
    <w:p w14:paraId="5579F784">
      <w:r>
        <w:rPr>
          <w:rFonts w:hint="eastAsia" w:ascii="仿宋" w:hAnsi="仿宋" w:eastAsia="仿宋" w:cs="仿宋"/>
          <w:color w:val="000000"/>
          <w:kern w:val="0"/>
          <w:sz w:val="22"/>
          <w:szCs w:val="22"/>
          <w:u w:val="none"/>
          <w:lang w:val="en-US" w:eastAsia="zh-CN" w:bidi="ar"/>
        </w:rPr>
        <w:t>（2）若投标供应商提交的投标（响应）文件存在虚假材料或虚假响应的情况，投标供应商应向采购人支付项目预算总金额30%的赔偿金。</w:t>
      </w:r>
      <w:r>
        <w:rPr>
          <w:rFonts w:hint="eastAsia" w:ascii="仿宋" w:hAnsi="仿宋" w:eastAsia="仿宋" w:cs="仿宋"/>
          <w:color w:val="000000"/>
          <w:kern w:val="0"/>
          <w:sz w:val="22"/>
          <w:szCs w:val="22"/>
          <w:u w:val="none"/>
          <w:lang w:val="en-US" w:eastAsia="zh-CN" w:bidi="ar"/>
        </w:rPr>
        <w:br w:type="textWrapping"/>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6E3463"/>
    <w:rsid w:val="7B6E3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2026-08-04T04:02:00Z</dcterms:created>
  <dc:creator>lz</dc:creator>
  <cp:lastModifiedBy>lz</cp:lastModifiedBy>
  <dcterms:modified xsi:type="dcterms:W3CDTF">2026-08-04T04:02:50Z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52E9847A7A7944DD825486125FE5959B_11</vt:lpwstr>
  </property>
  <property fmtid="{D5CDD505-2E9C-101B-9397-08002B2CF9AE}" pid="4" name="KSOTemplateDocerSaveRecord">
    <vt:lpwstr>eyJoZGlkIjoiNGNhMWE3NTkxNzZmNGI1MDVkZjYwMjhiNGQ2YjQxMDkiLCJ1c2VySWQiOiI0ODI5Njk1NDgifQ==</vt:lpwstr>
  </property>
</Properties>
</file>