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1DEF3">
      <w:pPr>
        <w:pStyle w:val="11"/>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2E104DF2">
      <w:pPr>
        <w:pStyle w:val="11"/>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461EA8B">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35CAAD43">
      <w:pPr>
        <w:pStyle w:val="11"/>
        <w:ind w:firstLine="480"/>
        <w:jc w:val="left"/>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本项目提供的产品，必须为“四川省药品和医用耗材招采管理系统”中已挂网产品（不含正在挂网和备案的产品）。</w:t>
      </w:r>
    </w:p>
    <w:tbl>
      <w:tblPr>
        <w:tblStyle w:val="8"/>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47"/>
        <w:gridCol w:w="675"/>
        <w:gridCol w:w="2182"/>
        <w:gridCol w:w="1108"/>
        <w:gridCol w:w="1164"/>
        <w:gridCol w:w="1421"/>
        <w:gridCol w:w="1422"/>
      </w:tblGrid>
      <w:tr w14:paraId="04516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trPr>
        <w:tc>
          <w:tcPr>
            <w:tcW w:w="321" w:type="pct"/>
            <w:vAlign w:val="center"/>
          </w:tcPr>
          <w:p w14:paraId="31269779">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包号</w:t>
            </w:r>
          </w:p>
        </w:tc>
        <w:tc>
          <w:tcPr>
            <w:tcW w:w="396" w:type="pct"/>
            <w:vAlign w:val="center"/>
          </w:tcPr>
          <w:p w14:paraId="26662AE3">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编号</w:t>
            </w:r>
          </w:p>
        </w:tc>
        <w:tc>
          <w:tcPr>
            <w:tcW w:w="1280" w:type="pct"/>
            <w:vAlign w:val="center"/>
          </w:tcPr>
          <w:p w14:paraId="73C345CA">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标的名称</w:t>
            </w:r>
          </w:p>
        </w:tc>
        <w:tc>
          <w:tcPr>
            <w:tcW w:w="650" w:type="pct"/>
            <w:vAlign w:val="center"/>
          </w:tcPr>
          <w:p w14:paraId="6EDF345E">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★单价最高限价（</w:t>
            </w:r>
            <w:r>
              <w:rPr>
                <w:rFonts w:hint="default" w:ascii="仿宋" w:hAnsi="仿宋" w:eastAsia="仿宋" w:cs="仿宋"/>
                <w:b/>
                <w:bCs/>
                <w:sz w:val="22"/>
                <w:szCs w:val="22"/>
                <w:highlight w:val="none"/>
                <w:lang w:val="en-US" w:eastAsia="zh-CN"/>
              </w:rPr>
              <w:t>元</w:t>
            </w:r>
            <w:r>
              <w:rPr>
                <w:rFonts w:hint="eastAsia" w:ascii="仿宋" w:hAnsi="仿宋" w:eastAsia="仿宋" w:cs="仿宋"/>
                <w:b/>
                <w:bCs/>
                <w:sz w:val="22"/>
                <w:szCs w:val="22"/>
                <w:highlight w:val="none"/>
                <w:lang w:val="en-US" w:eastAsia="zh-CN"/>
              </w:rPr>
              <w:t>）</w:t>
            </w:r>
          </w:p>
        </w:tc>
        <w:tc>
          <w:tcPr>
            <w:tcW w:w="683" w:type="pct"/>
            <w:vAlign w:val="center"/>
          </w:tcPr>
          <w:p w14:paraId="4E6A165C">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计量单位</w:t>
            </w:r>
          </w:p>
        </w:tc>
        <w:tc>
          <w:tcPr>
            <w:tcW w:w="834" w:type="pct"/>
            <w:vAlign w:val="center"/>
          </w:tcPr>
          <w:p w14:paraId="3BBE4CAF">
            <w:pPr>
              <w:pStyle w:val="11"/>
              <w:jc w:val="center"/>
              <w:rPr>
                <w:rFonts w:hint="default"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★使用数量</w:t>
            </w:r>
          </w:p>
        </w:tc>
        <w:tc>
          <w:tcPr>
            <w:tcW w:w="834" w:type="pct"/>
            <w:vAlign w:val="center"/>
          </w:tcPr>
          <w:p w14:paraId="3154A23B">
            <w:pPr>
              <w:pStyle w:val="11"/>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★项目最高限价（</w:t>
            </w:r>
            <w:r>
              <w:rPr>
                <w:rFonts w:hint="default" w:ascii="仿宋" w:hAnsi="仿宋" w:eastAsia="仿宋" w:cs="仿宋"/>
                <w:b/>
                <w:bCs/>
                <w:sz w:val="22"/>
                <w:szCs w:val="22"/>
                <w:highlight w:val="none"/>
                <w:lang w:val="en-US" w:eastAsia="zh-CN"/>
              </w:rPr>
              <w:t>元</w:t>
            </w:r>
            <w:r>
              <w:rPr>
                <w:rFonts w:hint="eastAsia" w:ascii="仿宋" w:hAnsi="仿宋" w:eastAsia="仿宋" w:cs="仿宋"/>
                <w:b/>
                <w:bCs/>
                <w:sz w:val="22"/>
                <w:szCs w:val="22"/>
                <w:highlight w:val="none"/>
                <w:lang w:val="en-US" w:eastAsia="zh-CN"/>
              </w:rPr>
              <w:t>）</w:t>
            </w:r>
          </w:p>
        </w:tc>
      </w:tr>
      <w:tr w14:paraId="594AE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321" w:type="pct"/>
            <w:vMerge w:val="restart"/>
            <w:vAlign w:val="center"/>
          </w:tcPr>
          <w:p w14:paraId="7735C46D">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396" w:type="pct"/>
            <w:vAlign w:val="center"/>
          </w:tcPr>
          <w:p w14:paraId="317BE52E">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280" w:type="pct"/>
            <w:vAlign w:val="center"/>
          </w:tcPr>
          <w:p w14:paraId="6FB51036">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胃转流支架输送系统</w:t>
            </w:r>
          </w:p>
        </w:tc>
        <w:tc>
          <w:tcPr>
            <w:tcW w:w="1109" w:type="dxa"/>
            <w:vAlign w:val="center"/>
          </w:tcPr>
          <w:p w14:paraId="06B8DDB5">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29800</w:t>
            </w:r>
          </w:p>
        </w:tc>
        <w:tc>
          <w:tcPr>
            <w:tcW w:w="1165" w:type="dxa"/>
            <w:vAlign w:val="center"/>
          </w:tcPr>
          <w:p w14:paraId="3F54CF4F">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套</w:t>
            </w:r>
          </w:p>
        </w:tc>
        <w:tc>
          <w:tcPr>
            <w:tcW w:w="834" w:type="pct"/>
            <w:vAlign w:val="center"/>
          </w:tcPr>
          <w:p w14:paraId="4EBCE0DA">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34" w:type="pct"/>
            <w:vAlign w:val="center"/>
          </w:tcPr>
          <w:p w14:paraId="693310DE">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r w14:paraId="6108C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321" w:type="pct"/>
            <w:vMerge w:val="continue"/>
            <w:vAlign w:val="center"/>
          </w:tcPr>
          <w:p w14:paraId="79215936">
            <w:pPr>
              <w:pStyle w:val="11"/>
              <w:jc w:val="center"/>
              <w:rPr>
                <w:rFonts w:hint="eastAsia" w:ascii="仿宋" w:hAnsi="仿宋" w:eastAsia="仿宋" w:cs="仿宋"/>
                <w:sz w:val="22"/>
                <w:szCs w:val="22"/>
                <w:highlight w:val="none"/>
                <w:lang w:val="en-US" w:eastAsia="zh-CN"/>
              </w:rPr>
            </w:pPr>
          </w:p>
        </w:tc>
        <w:tc>
          <w:tcPr>
            <w:tcW w:w="396" w:type="pct"/>
            <w:vAlign w:val="center"/>
          </w:tcPr>
          <w:p w14:paraId="4BDBB657">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p>
        </w:tc>
        <w:tc>
          <w:tcPr>
            <w:tcW w:w="1280" w:type="pct"/>
            <w:vAlign w:val="center"/>
          </w:tcPr>
          <w:p w14:paraId="099B1480">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胃转流支架回收系统</w:t>
            </w:r>
          </w:p>
        </w:tc>
        <w:tc>
          <w:tcPr>
            <w:tcW w:w="1109" w:type="dxa"/>
            <w:vAlign w:val="center"/>
          </w:tcPr>
          <w:p w14:paraId="76FE2014">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6800</w:t>
            </w:r>
          </w:p>
        </w:tc>
        <w:tc>
          <w:tcPr>
            <w:tcW w:w="1165" w:type="dxa"/>
            <w:vAlign w:val="center"/>
          </w:tcPr>
          <w:p w14:paraId="0D231D37">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套</w:t>
            </w:r>
          </w:p>
        </w:tc>
        <w:tc>
          <w:tcPr>
            <w:tcW w:w="834" w:type="pct"/>
            <w:vAlign w:val="center"/>
          </w:tcPr>
          <w:p w14:paraId="605103D6">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34" w:type="pct"/>
            <w:vAlign w:val="center"/>
          </w:tcPr>
          <w:p w14:paraId="4ECD96DE">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r w14:paraId="30B97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321" w:type="pct"/>
            <w:vAlign w:val="center"/>
          </w:tcPr>
          <w:p w14:paraId="1E2FFCA6">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p>
        </w:tc>
        <w:tc>
          <w:tcPr>
            <w:tcW w:w="396" w:type="pct"/>
            <w:vAlign w:val="center"/>
          </w:tcPr>
          <w:p w14:paraId="15E8EDCC">
            <w:pPr>
              <w:pStyle w:val="11"/>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280" w:type="pct"/>
            <w:vAlign w:val="center"/>
          </w:tcPr>
          <w:p w14:paraId="5B70B5F2">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一次性使用电动肛肠套扎吻合器</w:t>
            </w:r>
          </w:p>
        </w:tc>
        <w:tc>
          <w:tcPr>
            <w:tcW w:w="1109" w:type="dxa"/>
            <w:vAlign w:val="center"/>
          </w:tcPr>
          <w:p w14:paraId="5D4F31B3">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2400</w:t>
            </w:r>
          </w:p>
        </w:tc>
        <w:tc>
          <w:tcPr>
            <w:tcW w:w="1165" w:type="dxa"/>
            <w:vAlign w:val="center"/>
          </w:tcPr>
          <w:p w14:paraId="6A51B8DB">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套</w:t>
            </w:r>
          </w:p>
        </w:tc>
        <w:tc>
          <w:tcPr>
            <w:tcW w:w="834" w:type="pct"/>
            <w:vAlign w:val="center"/>
          </w:tcPr>
          <w:p w14:paraId="5F70DD02">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按计划</w:t>
            </w:r>
          </w:p>
        </w:tc>
        <w:tc>
          <w:tcPr>
            <w:tcW w:w="834" w:type="pct"/>
            <w:vAlign w:val="center"/>
          </w:tcPr>
          <w:p w14:paraId="2BCF6647">
            <w:pPr>
              <w:pStyle w:val="11"/>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据实结算</w:t>
            </w:r>
          </w:p>
        </w:tc>
      </w:tr>
    </w:tbl>
    <w:p w14:paraId="3ED4B764">
      <w:pPr>
        <w:pStyle w:val="11"/>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4A0A30C8">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3.2.技术要求</w:t>
      </w:r>
    </w:p>
    <w:p w14:paraId="57941E51">
      <w:pPr>
        <w:pStyle w:val="11"/>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采购包1：</w:t>
      </w:r>
    </w:p>
    <w:tbl>
      <w:tblPr>
        <w:tblStyle w:val="9"/>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99"/>
        <w:gridCol w:w="1590"/>
        <w:gridCol w:w="2670"/>
        <w:gridCol w:w="2277"/>
      </w:tblGrid>
      <w:tr w14:paraId="2BDD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314D2C59">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编号</w:t>
            </w:r>
          </w:p>
        </w:tc>
        <w:tc>
          <w:tcPr>
            <w:tcW w:w="1499" w:type="dxa"/>
            <w:noWrap w:val="0"/>
            <w:vAlign w:val="center"/>
          </w:tcPr>
          <w:p w14:paraId="25769136">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标的名称</w:t>
            </w:r>
          </w:p>
        </w:tc>
        <w:tc>
          <w:tcPr>
            <w:tcW w:w="1590" w:type="dxa"/>
            <w:noWrap w:val="0"/>
            <w:vAlign w:val="center"/>
          </w:tcPr>
          <w:p w14:paraId="60F6496A">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医保耗材代码</w:t>
            </w:r>
          </w:p>
        </w:tc>
        <w:tc>
          <w:tcPr>
            <w:tcW w:w="2670" w:type="dxa"/>
            <w:noWrap w:val="0"/>
            <w:vAlign w:val="center"/>
          </w:tcPr>
          <w:p w14:paraId="5B887603">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★预期用途/适应症</w:t>
            </w:r>
          </w:p>
        </w:tc>
        <w:tc>
          <w:tcPr>
            <w:tcW w:w="2277" w:type="dxa"/>
            <w:noWrap w:val="0"/>
            <w:vAlign w:val="center"/>
          </w:tcPr>
          <w:p w14:paraId="4BD74E6C">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预期使用的规格型号及配置等情况</w:t>
            </w:r>
          </w:p>
        </w:tc>
      </w:tr>
      <w:tr w14:paraId="7E57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4" w:type="dxa"/>
            <w:noWrap w:val="0"/>
            <w:vAlign w:val="center"/>
          </w:tcPr>
          <w:p w14:paraId="17401083">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499" w:type="dxa"/>
            <w:noWrap w:val="0"/>
            <w:vAlign w:val="center"/>
          </w:tcPr>
          <w:p w14:paraId="5C6295EC">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胃转流支架输送系统</w:t>
            </w:r>
          </w:p>
        </w:tc>
        <w:tc>
          <w:tcPr>
            <w:tcW w:w="1590" w:type="dxa"/>
            <w:noWrap w:val="0"/>
            <w:vAlign w:val="center"/>
          </w:tcPr>
          <w:p w14:paraId="114B8887">
            <w:pPr>
              <w:pStyle w:val="11"/>
              <w:widowControl w:val="0"/>
              <w:jc w:val="center"/>
              <w:rPr>
                <w:rFonts w:hint="eastAsia"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C010207001</w:t>
            </w:r>
          </w:p>
        </w:tc>
        <w:tc>
          <w:tcPr>
            <w:tcW w:w="2670" w:type="dxa"/>
            <w:noWrap w:val="0"/>
            <w:vAlign w:val="center"/>
          </w:tcPr>
          <w:p w14:paraId="42DEF70F">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用于内镜下胃转流支架置入术。</w:t>
            </w:r>
          </w:p>
        </w:tc>
        <w:tc>
          <w:tcPr>
            <w:tcW w:w="2277" w:type="dxa"/>
            <w:noWrap w:val="0"/>
            <w:vAlign w:val="center"/>
          </w:tcPr>
          <w:p w14:paraId="2ED4A095">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可配套本项目胃转流支架回收系统。</w:t>
            </w:r>
          </w:p>
        </w:tc>
      </w:tr>
      <w:tr w14:paraId="1E17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4" w:type="dxa"/>
            <w:noWrap w:val="0"/>
            <w:vAlign w:val="center"/>
          </w:tcPr>
          <w:p w14:paraId="535658E6">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w:t>
            </w:r>
          </w:p>
        </w:tc>
        <w:tc>
          <w:tcPr>
            <w:tcW w:w="1499" w:type="dxa"/>
            <w:noWrap w:val="0"/>
            <w:vAlign w:val="center"/>
          </w:tcPr>
          <w:p w14:paraId="2FA7FB2E">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胃转流支架回收系统</w:t>
            </w:r>
          </w:p>
        </w:tc>
        <w:tc>
          <w:tcPr>
            <w:tcW w:w="1590" w:type="dxa"/>
            <w:noWrap w:val="0"/>
            <w:vAlign w:val="center"/>
          </w:tcPr>
          <w:p w14:paraId="14D917F2">
            <w:pPr>
              <w:pStyle w:val="11"/>
              <w:widowControl w:val="0"/>
              <w:jc w:val="center"/>
              <w:rPr>
                <w:rFonts w:hint="eastAsia"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C010244000</w:t>
            </w:r>
          </w:p>
        </w:tc>
        <w:tc>
          <w:tcPr>
            <w:tcW w:w="2670" w:type="dxa"/>
            <w:noWrap w:val="0"/>
            <w:vAlign w:val="center"/>
          </w:tcPr>
          <w:p w14:paraId="3BD0CC34">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用于内镜下胃转流支架置入术后取出支架。</w:t>
            </w:r>
          </w:p>
        </w:tc>
        <w:tc>
          <w:tcPr>
            <w:tcW w:w="2277" w:type="dxa"/>
            <w:noWrap w:val="0"/>
            <w:vAlign w:val="center"/>
          </w:tcPr>
          <w:p w14:paraId="3744E80D">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可配套本项目胃转流支架输送系统。</w:t>
            </w:r>
          </w:p>
        </w:tc>
      </w:tr>
    </w:tbl>
    <w:p w14:paraId="6C29CFC6">
      <w:pPr>
        <w:pStyle w:val="11"/>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采购包2：</w:t>
      </w:r>
    </w:p>
    <w:tbl>
      <w:tblPr>
        <w:tblStyle w:val="9"/>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99"/>
        <w:gridCol w:w="1590"/>
        <w:gridCol w:w="2670"/>
        <w:gridCol w:w="2277"/>
      </w:tblGrid>
      <w:tr w14:paraId="01DD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25091616">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编号</w:t>
            </w:r>
          </w:p>
        </w:tc>
        <w:tc>
          <w:tcPr>
            <w:tcW w:w="1499" w:type="dxa"/>
            <w:noWrap w:val="0"/>
            <w:vAlign w:val="center"/>
          </w:tcPr>
          <w:p w14:paraId="26946746">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标的名称</w:t>
            </w:r>
          </w:p>
        </w:tc>
        <w:tc>
          <w:tcPr>
            <w:tcW w:w="1590" w:type="dxa"/>
            <w:noWrap w:val="0"/>
            <w:vAlign w:val="center"/>
          </w:tcPr>
          <w:p w14:paraId="45D37255">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医保耗材代码</w:t>
            </w:r>
          </w:p>
        </w:tc>
        <w:tc>
          <w:tcPr>
            <w:tcW w:w="2670" w:type="dxa"/>
            <w:noWrap w:val="0"/>
            <w:vAlign w:val="center"/>
          </w:tcPr>
          <w:p w14:paraId="748973BF">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★预期用途/适应症</w:t>
            </w:r>
          </w:p>
        </w:tc>
        <w:tc>
          <w:tcPr>
            <w:tcW w:w="2277" w:type="dxa"/>
            <w:noWrap w:val="0"/>
            <w:vAlign w:val="center"/>
          </w:tcPr>
          <w:p w14:paraId="7C407C34">
            <w:pPr>
              <w:pStyle w:val="11"/>
              <w:widowControl w:val="0"/>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预期使用的规格型号及配置等情况</w:t>
            </w:r>
          </w:p>
        </w:tc>
      </w:tr>
      <w:tr w14:paraId="755E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2389D98B">
            <w:pPr>
              <w:pStyle w:val="11"/>
              <w:widowControl w:val="0"/>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w:t>
            </w:r>
          </w:p>
        </w:tc>
        <w:tc>
          <w:tcPr>
            <w:tcW w:w="1499" w:type="dxa"/>
            <w:noWrap w:val="0"/>
            <w:vAlign w:val="center"/>
          </w:tcPr>
          <w:p w14:paraId="7D13A137">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一次性使用电动肛肠套扎吻合器</w:t>
            </w:r>
          </w:p>
        </w:tc>
        <w:tc>
          <w:tcPr>
            <w:tcW w:w="1590" w:type="dxa"/>
            <w:noWrap w:val="0"/>
            <w:vAlign w:val="center"/>
          </w:tcPr>
          <w:p w14:paraId="0911F110">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C010221023</w:t>
            </w:r>
          </w:p>
        </w:tc>
        <w:tc>
          <w:tcPr>
            <w:tcW w:w="2670" w:type="dxa"/>
            <w:noWrap w:val="0"/>
            <w:vAlign w:val="center"/>
          </w:tcPr>
          <w:p w14:paraId="0911B6E3">
            <w:pPr>
              <w:pStyle w:val="11"/>
              <w:widowControl w:val="0"/>
              <w:jc w:val="center"/>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用于混合痔术中套扎</w:t>
            </w:r>
          </w:p>
        </w:tc>
        <w:tc>
          <w:tcPr>
            <w:tcW w:w="2277" w:type="dxa"/>
            <w:noWrap w:val="0"/>
            <w:vAlign w:val="center"/>
          </w:tcPr>
          <w:p w14:paraId="50A56C48">
            <w:pPr>
              <w:pStyle w:val="11"/>
              <w:widowControl w:val="0"/>
              <w:jc w:val="center"/>
              <w:rPr>
                <w:rFonts w:hint="default"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w:t>
            </w:r>
          </w:p>
        </w:tc>
      </w:tr>
    </w:tbl>
    <w:p w14:paraId="7606DD60">
      <w:pPr>
        <w:pStyle w:val="11"/>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E295DF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项目采购要求</w:t>
      </w:r>
      <w:r>
        <w:rPr>
          <w:rFonts w:hint="eastAsia" w:ascii="仿宋" w:hAnsi="仿宋" w:eastAsia="仿宋" w:cs="仿宋"/>
          <w:b/>
          <w:sz w:val="28"/>
          <w:highlight w:val="none"/>
          <w:lang w:eastAsia="zh-CN"/>
        </w:rPr>
        <w:t>（</w:t>
      </w:r>
      <w:r>
        <w:rPr>
          <w:rFonts w:hint="eastAsia" w:ascii="仿宋" w:hAnsi="仿宋" w:eastAsia="仿宋" w:cs="仿宋"/>
          <w:b/>
          <w:sz w:val="28"/>
          <w:highlight w:val="none"/>
          <w:lang w:val="en-US" w:eastAsia="zh-CN"/>
        </w:rPr>
        <w:t>包1，包2</w:t>
      </w:r>
      <w:r>
        <w:rPr>
          <w:rFonts w:hint="eastAsia" w:ascii="仿宋" w:hAnsi="仿宋" w:eastAsia="仿宋" w:cs="仿宋"/>
          <w:b/>
          <w:sz w:val="28"/>
          <w:highlight w:val="none"/>
          <w:lang w:eastAsia="zh-CN"/>
        </w:rPr>
        <w:t>）</w:t>
      </w:r>
    </w:p>
    <w:p w14:paraId="228705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一、挂网需求</w:t>
      </w:r>
    </w:p>
    <w:p w14:paraId="1DC6F82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本项目所有标的均须提供挂网产品。</w:t>
      </w:r>
    </w:p>
    <w:p w14:paraId="2DA7094C">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注：本项目中所指“挂网产品”，为“四川省药品和医用耗材招采管理系统”中已挂网产品（不含正在挂网和备案的产品）。</w:t>
      </w:r>
    </w:p>
    <w:p w14:paraId="414A60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二、样品要求</w:t>
      </w:r>
    </w:p>
    <w:p w14:paraId="10949172">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default"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5D6CB2AA">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2.提交的样品不符合实际需求或存在原理错误则视为无效响应。</w:t>
      </w:r>
    </w:p>
    <w:p w14:paraId="462D438F">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b w:val="0"/>
          <w:bCs w:val="0"/>
          <w:color w:val="000000"/>
          <w:kern w:val="0"/>
          <w:sz w:val="22"/>
          <w:szCs w:val="22"/>
          <w:highlight w:val="none"/>
          <w:u w:val="none"/>
          <w:lang w:val="en-US" w:eastAsia="zh-CN" w:bidi="ar"/>
        </w:rPr>
      </w:pPr>
      <w:r>
        <w:rPr>
          <w:rFonts w:hint="eastAsia" w:ascii="仿宋" w:hAnsi="仿宋" w:eastAsia="仿宋" w:cs="仿宋"/>
          <w:b w:val="0"/>
          <w:bCs w:val="0"/>
          <w:color w:val="000000"/>
          <w:kern w:val="0"/>
          <w:sz w:val="22"/>
          <w:szCs w:val="22"/>
          <w:highlight w:val="none"/>
          <w:u w:val="none"/>
          <w:lang w:val="en-US" w:eastAsia="zh-CN" w:bidi="ar"/>
        </w:rPr>
        <w:t>3.本项目竞选人提供的样品，应与该竞选人响应文件保持一致（具体参考《医疗器械说明书和标签管理规定》）。</w:t>
      </w:r>
    </w:p>
    <w:p w14:paraId="495B5EF8">
      <w:pPr>
        <w:keepNext w:val="0"/>
        <w:keepLines w:val="0"/>
        <w:pageBreakBefore w:val="0"/>
        <w:widowControl w:val="0"/>
        <w:kinsoku/>
        <w:wordWrap/>
        <w:overflowPunct/>
        <w:topLinePunct w:val="0"/>
        <w:autoSpaceDE/>
        <w:autoSpaceDN/>
        <w:bidi w:val="0"/>
        <w:adjustRightInd/>
        <w:snapToGrid/>
        <w:spacing w:line="240" w:lineRule="auto"/>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49BBC9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bCs/>
          <w:color w:val="000000"/>
          <w:sz w:val="28"/>
          <w:szCs w:val="28"/>
          <w:highlight w:val="none"/>
          <w:lang w:val="en-US" w:eastAsia="zh-CN"/>
        </w:rPr>
      </w:pPr>
      <w:r>
        <w:rPr>
          <w:rFonts w:hint="eastAsia" w:ascii="仿宋" w:hAnsi="仿宋" w:eastAsia="仿宋" w:cs="仿宋"/>
          <w:b/>
          <w:sz w:val="28"/>
          <w:szCs w:val="28"/>
          <w:highlight w:val="none"/>
          <w:lang w:val="en-US" w:eastAsia="zh-CN"/>
        </w:rPr>
        <w:t>三、商务</w:t>
      </w:r>
      <w:r>
        <w:rPr>
          <w:rFonts w:hint="eastAsia" w:ascii="仿宋" w:hAnsi="仿宋" w:eastAsia="仿宋" w:cs="仿宋"/>
          <w:b/>
          <w:sz w:val="28"/>
          <w:szCs w:val="28"/>
          <w:highlight w:val="none"/>
        </w:rPr>
        <w:t>要求</w:t>
      </w:r>
      <w:r>
        <w:rPr>
          <w:rFonts w:hint="eastAsia" w:ascii="仿宋" w:hAnsi="仿宋" w:eastAsia="仿宋" w:cs="仿宋"/>
          <w:b/>
          <w:sz w:val="28"/>
          <w:szCs w:val="28"/>
          <w:highlight w:val="none"/>
          <w:lang w:eastAsia="zh-CN"/>
        </w:rPr>
        <w:t>（</w:t>
      </w:r>
      <w:r>
        <w:rPr>
          <w:rFonts w:hint="eastAsia" w:ascii="仿宋" w:hAnsi="仿宋" w:eastAsia="仿宋" w:cs="仿宋"/>
          <w:b/>
          <w:sz w:val="28"/>
          <w:szCs w:val="28"/>
          <w:highlight w:val="none"/>
          <w:lang w:val="en-US" w:eastAsia="zh-CN"/>
        </w:rPr>
        <w:t>包1，包2</w:t>
      </w:r>
      <w:r>
        <w:rPr>
          <w:rFonts w:hint="eastAsia" w:ascii="仿宋" w:hAnsi="仿宋" w:eastAsia="仿宋" w:cs="仿宋"/>
          <w:b/>
          <w:sz w:val="28"/>
          <w:szCs w:val="28"/>
          <w:highlight w:val="none"/>
          <w:lang w:eastAsia="zh-CN"/>
        </w:rPr>
        <w:t>）</w:t>
      </w:r>
    </w:p>
    <w:p w14:paraId="0179FE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kern w:val="2"/>
          <w:sz w:val="22"/>
          <w:szCs w:val="22"/>
          <w:highlight w:val="none"/>
          <w:shd w:val="clear" w:color="auto" w:fill="auto"/>
          <w:lang w:val="en-US" w:eastAsia="zh-CN" w:bidi="ar-SA"/>
        </w:rPr>
        <w:t>（一）</w:t>
      </w:r>
      <w:r>
        <w:rPr>
          <w:rFonts w:hint="eastAsia" w:ascii="仿宋" w:hAnsi="仿宋" w:eastAsia="仿宋" w:cs="仿宋"/>
          <w:b/>
          <w:bCs/>
          <w:color w:val="auto"/>
          <w:sz w:val="22"/>
          <w:szCs w:val="22"/>
          <w:highlight w:val="none"/>
          <w:shd w:val="clear" w:color="auto" w:fill="auto"/>
          <w:lang w:val="en-US" w:eastAsia="zh-CN"/>
        </w:rPr>
        <w:t>服务期限</w:t>
      </w:r>
    </w:p>
    <w:p w14:paraId="2C09DC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2"/>
          <w:szCs w:val="22"/>
          <w:highlight w:val="none"/>
          <w:shd w:val="clear" w:color="auto" w:fill="auto"/>
        </w:rPr>
      </w:pPr>
      <w:r>
        <w:rPr>
          <w:rFonts w:hint="eastAsia" w:ascii="仿宋" w:hAnsi="仿宋" w:eastAsia="仿宋" w:cs="仿宋"/>
          <w:color w:val="000000"/>
          <w:kern w:val="0"/>
          <w:sz w:val="22"/>
          <w:szCs w:val="22"/>
          <w:highlight w:val="none"/>
          <w:lang w:val="en-US" w:eastAsia="zh-CN" w:bidi="zh-CN"/>
        </w:rPr>
        <w:t>1.每次配送时间必须严格按照采购人配送通知执行，中选人应于收到通知后2小时内响应。急用产品的配送时间不应超过4小时，一般产品原则上的配送时间不应超过2个工作日。</w:t>
      </w:r>
    </w:p>
    <w:p w14:paraId="6C2FBF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sz w:val="22"/>
          <w:szCs w:val="22"/>
          <w:highlight w:val="none"/>
          <w:shd w:val="clear" w:color="auto" w:fill="auto"/>
          <w:lang w:val="en-US" w:eastAsia="zh-CN"/>
        </w:rPr>
        <w:t>（二）服务地点</w:t>
      </w:r>
    </w:p>
    <w:p w14:paraId="7C6AAC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color w:val="000000"/>
          <w:kern w:val="0"/>
          <w:sz w:val="22"/>
          <w:szCs w:val="22"/>
          <w:highlight w:val="none"/>
          <w:lang w:val="en-US" w:eastAsia="zh-CN" w:bidi="zh-CN"/>
        </w:rPr>
        <w:t>1.内江市第一人民医院指定地点。</w:t>
      </w:r>
    </w:p>
    <w:p w14:paraId="30D0C8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kern w:val="2"/>
          <w:sz w:val="22"/>
          <w:szCs w:val="22"/>
          <w:highlight w:val="none"/>
          <w:shd w:val="clear" w:color="auto" w:fill="auto"/>
          <w:lang w:val="en-US" w:eastAsia="zh-CN" w:bidi="ar-SA"/>
        </w:rPr>
        <w:t>（三）</w:t>
      </w:r>
      <w:r>
        <w:rPr>
          <w:rFonts w:hint="eastAsia" w:ascii="仿宋" w:hAnsi="仿宋" w:eastAsia="仿宋" w:cs="仿宋"/>
          <w:b/>
          <w:bCs/>
          <w:color w:val="auto"/>
          <w:sz w:val="22"/>
          <w:szCs w:val="22"/>
          <w:highlight w:val="none"/>
          <w:shd w:val="clear" w:color="auto" w:fill="auto"/>
          <w:lang w:val="en-US" w:eastAsia="zh-CN"/>
        </w:rPr>
        <w:t>付款方式和条件</w:t>
      </w:r>
    </w:p>
    <w:p w14:paraId="6F5E85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shd w:val="clear" w:color="auto" w:fill="auto"/>
          <w:lang w:val="en-US" w:eastAsia="zh-CN" w:bidi="zh-CN"/>
        </w:rPr>
      </w:pPr>
      <w:r>
        <w:rPr>
          <w:rFonts w:hint="eastAsia" w:ascii="仿宋" w:hAnsi="仿宋" w:eastAsia="仿宋" w:cs="仿宋"/>
          <w:color w:val="000000"/>
          <w:kern w:val="0"/>
          <w:sz w:val="22"/>
          <w:szCs w:val="22"/>
          <w:highlight w:val="none"/>
          <w:shd w:val="clear" w:color="auto" w:fill="auto"/>
          <w:lang w:val="en-US" w:eastAsia="zh-CN" w:bidi="zh-CN"/>
        </w:rPr>
        <w:t>1.结算方式：双方同意以采购人财务制度规定的付款时间及付款要求进行结算，投标人已完全了解并清楚采购人的财务制度，投标人对采购人财务制度规定的付款要求及付款时间不持异议。</w:t>
      </w:r>
    </w:p>
    <w:p w14:paraId="727E292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shd w:val="clear" w:color="auto" w:fill="auto"/>
          <w:lang w:val="en-US" w:eastAsia="zh-CN" w:bidi="zh-CN"/>
        </w:rPr>
      </w:pPr>
      <w:r>
        <w:rPr>
          <w:rFonts w:hint="eastAsia" w:ascii="仿宋" w:hAnsi="仿宋" w:eastAsia="仿宋" w:cs="仿宋"/>
          <w:color w:val="000000"/>
          <w:kern w:val="0"/>
          <w:sz w:val="22"/>
          <w:szCs w:val="22"/>
          <w:highlight w:val="none"/>
          <w:shd w:val="clear" w:color="auto" w:fill="auto"/>
          <w:lang w:val="en-US" w:eastAsia="zh-CN" w:bidi="zh-CN"/>
        </w:rPr>
        <w:t>2.成交价格包含成本、运输、包装、培训、配送、伴随服务、税费及其他附加费用等一切费用。</w:t>
      </w:r>
    </w:p>
    <w:p w14:paraId="193703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val="0"/>
          <w:bCs w:val="0"/>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shd w:val="clear" w:color="auto" w:fill="auto"/>
          <w:lang w:val="en-US" w:eastAsia="zh-CN" w:bidi="zh-CN"/>
        </w:rPr>
        <w:t>3.若本项目中限定了标的数量或金额，中标人应严格按照响应内容执行，采购人有权拒绝支付超出响应范围的任何内容。</w:t>
      </w:r>
    </w:p>
    <w:p w14:paraId="2BD79B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kern w:val="2"/>
          <w:sz w:val="22"/>
          <w:szCs w:val="22"/>
          <w:highlight w:val="none"/>
          <w:shd w:val="clear" w:color="auto" w:fill="auto"/>
          <w:lang w:val="en-US" w:eastAsia="zh-CN" w:bidi="ar-SA"/>
        </w:rPr>
        <w:t>（四）验收、交付标准和方法</w:t>
      </w:r>
    </w:p>
    <w:p w14:paraId="74A4DC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4462BEB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30E3BD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072F7C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4.其他未尽事宜严格按照《财政部关于进一步加强政府采购需求和履约验收管理的指导意见》（财库〔2016〕205号）的要求进行。</w:t>
      </w:r>
    </w:p>
    <w:p w14:paraId="26FEA8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5.所配送耗材的技术参数与性能指标中涉及到的国家标准、行业标准或地方标准，若有最新标准以最新标准为准。</w:t>
      </w:r>
    </w:p>
    <w:p w14:paraId="171693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sz w:val="22"/>
          <w:szCs w:val="22"/>
          <w:highlight w:val="none"/>
          <w:shd w:val="clear" w:color="auto" w:fill="auto"/>
          <w:lang w:val="en-US" w:eastAsia="zh-CN"/>
        </w:rPr>
      </w:pPr>
      <w:r>
        <w:rPr>
          <w:rFonts w:hint="eastAsia" w:ascii="仿宋" w:hAnsi="仿宋" w:eastAsia="仿宋" w:cs="仿宋"/>
          <w:b/>
          <w:bCs/>
          <w:color w:val="auto"/>
          <w:kern w:val="2"/>
          <w:sz w:val="22"/>
          <w:szCs w:val="22"/>
          <w:highlight w:val="none"/>
          <w:shd w:val="clear" w:color="auto" w:fill="auto"/>
          <w:lang w:val="en-US" w:eastAsia="zh-CN" w:bidi="ar-SA"/>
        </w:rPr>
        <w:t>（五）</w:t>
      </w:r>
      <w:r>
        <w:rPr>
          <w:rFonts w:hint="eastAsia" w:ascii="仿宋" w:hAnsi="仿宋" w:eastAsia="仿宋" w:cs="仿宋"/>
          <w:b/>
          <w:bCs/>
          <w:color w:val="auto"/>
          <w:sz w:val="22"/>
          <w:szCs w:val="22"/>
          <w:highlight w:val="none"/>
          <w:shd w:val="clear" w:color="auto" w:fill="auto"/>
          <w:lang w:val="en-US" w:eastAsia="zh-CN"/>
        </w:rPr>
        <w:t>售后服务</w:t>
      </w:r>
    </w:p>
    <w:p w14:paraId="060146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5230F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2.要求中选人指派专人负责与采购人联系售后服务事宜；在投标文件中列明售后联系人及联系电话。</w:t>
      </w:r>
    </w:p>
    <w:p w14:paraId="0426E8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11464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4.耗材临近失效期，采购人提前三个月向中选人提出更换，中选人须在耗材失效前一个月更换完毕，不得以任何理由进行推诿。</w:t>
      </w:r>
    </w:p>
    <w:p w14:paraId="520ECF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5.中选人必须随货提供其具备医疗器械经营企业的有关合法有效的手续（包括但不限于）：</w:t>
      </w:r>
    </w:p>
    <w:p w14:paraId="1F64602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5.1产品所涉及逐级授权经销商的医疗器械生产（经营）许可证或生产（经营）企业备案表；</w:t>
      </w:r>
    </w:p>
    <w:p w14:paraId="1C0FFA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5.2医疗器械产品注册证或备案凭证；</w:t>
      </w:r>
    </w:p>
    <w:p w14:paraId="6BEEEE7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5.3医疗器械生产企业许可证；</w:t>
      </w:r>
    </w:p>
    <w:p w14:paraId="1E7B7F8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5.4经销商获得的委托授权书（逐级）；</w:t>
      </w:r>
    </w:p>
    <w:p w14:paraId="0B536A4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5.5产品所涉及逐级授权经销商的企业法人营业执照。</w:t>
      </w:r>
    </w:p>
    <w:p w14:paraId="3E96E6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5.6采购人要求提供的相关资料。</w:t>
      </w:r>
    </w:p>
    <w:p w14:paraId="7B66920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color w:val="000000"/>
          <w:kern w:val="0"/>
          <w:sz w:val="22"/>
          <w:szCs w:val="22"/>
          <w:highlight w:val="none"/>
          <w:lang w:val="en-US" w:eastAsia="zh-CN" w:bidi="zh-CN"/>
        </w:rPr>
      </w:pPr>
      <w:r>
        <w:rPr>
          <w:rFonts w:hint="eastAsia" w:ascii="仿宋" w:hAnsi="仿宋" w:eastAsia="仿宋" w:cs="仿宋"/>
          <w:color w:val="000000"/>
          <w:kern w:val="0"/>
          <w:sz w:val="22"/>
          <w:szCs w:val="22"/>
          <w:highlight w:val="none"/>
          <w:lang w:val="en-US" w:eastAsia="zh-CN" w:bidi="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4771CA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kern w:val="2"/>
          <w:sz w:val="22"/>
          <w:szCs w:val="22"/>
          <w:highlight w:val="none"/>
          <w:shd w:val="clear" w:color="auto" w:fill="auto"/>
          <w:lang w:val="en-US" w:eastAsia="zh-CN" w:bidi="ar-SA"/>
        </w:rPr>
        <w:t>（六）配送医用耗材质量保证</w:t>
      </w:r>
    </w:p>
    <w:p w14:paraId="7D5453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1.中标人须配送原厂生产的未曾使用过的、全新的合格的货品（含配套配件等），表面无划伤、无破损痕迹，且权属清楚，不得侵害他人的合法权利。</w:t>
      </w:r>
    </w:p>
    <w:p w14:paraId="786EEF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6A22CC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6B2E11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4.中标人保证其配送货品的安全可靠性。在正常使用下不应对使用者造成任何人身伤害，如因产品质量或标识不明确而对使用者造成损失的，由中标人承担相应责任。</w:t>
      </w:r>
    </w:p>
    <w:p w14:paraId="3EBB46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E454C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2"/>
          <w:szCs w:val="22"/>
          <w:highlight w:val="none"/>
          <w:lang w:val="en-US" w:eastAsia="zh-CN"/>
        </w:rPr>
      </w:pPr>
      <w:r>
        <w:rPr>
          <w:rFonts w:hint="eastAsia" w:ascii="仿宋" w:hAnsi="仿宋" w:eastAsia="仿宋" w:cs="仿宋"/>
          <w:color w:val="000000"/>
          <w:sz w:val="22"/>
          <w:szCs w:val="22"/>
          <w:highlight w:val="none"/>
          <w:lang w:val="en-US" w:eastAsia="zh-CN"/>
        </w:rPr>
        <w:t>6.中标人保证所供耗材有效期不低于1年，自通过最终验收之日起，确保采购人在使用耗材的过程中安全、有效。</w:t>
      </w:r>
    </w:p>
    <w:p w14:paraId="2B8502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0"/>
        <w:jc w:val="left"/>
        <w:textAlignment w:val="auto"/>
        <w:rPr>
          <w:rFonts w:hint="eastAsia" w:ascii="仿宋" w:hAnsi="仿宋" w:eastAsia="仿宋" w:cs="仿宋"/>
          <w:b/>
          <w:bCs/>
          <w:color w:val="auto"/>
          <w:kern w:val="2"/>
          <w:sz w:val="22"/>
          <w:szCs w:val="22"/>
          <w:highlight w:val="none"/>
          <w:shd w:val="clear" w:color="auto" w:fill="auto"/>
          <w:lang w:val="en-US" w:eastAsia="zh-CN" w:bidi="ar-SA"/>
        </w:rPr>
      </w:pPr>
      <w:r>
        <w:rPr>
          <w:rFonts w:hint="eastAsia" w:ascii="仿宋" w:hAnsi="仿宋" w:eastAsia="仿宋" w:cs="仿宋"/>
          <w:b/>
          <w:bCs/>
          <w:color w:val="auto"/>
          <w:kern w:val="2"/>
          <w:sz w:val="22"/>
          <w:szCs w:val="22"/>
          <w:highlight w:val="none"/>
          <w:shd w:val="clear" w:color="auto" w:fill="auto"/>
          <w:lang w:val="en-US" w:eastAsia="zh-CN" w:bidi="ar-SA"/>
        </w:rPr>
        <w:t>（七）包装和运输</w:t>
      </w:r>
    </w:p>
    <w:p w14:paraId="7B20D5C1">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1.成交投标人须严格按照《商品包装政府采购需求标准(试行)》、《快递包装政府采购需 求标准(试行)》(财办库〔2020〕123 号)的要求进行产品及相关快递服务的包装。 </w:t>
      </w:r>
    </w:p>
    <w:p w14:paraId="1F0A6AA7">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166FE984">
      <w:pPr>
        <w:keepNext w:val="0"/>
        <w:keepLines w:val="0"/>
        <w:pageBreakBefore w:val="0"/>
        <w:widowControl w:val="0"/>
        <w:kinsoku/>
        <w:wordWrap/>
        <w:overflowPunct/>
        <w:topLinePunct w:val="0"/>
        <w:autoSpaceDE/>
        <w:autoSpaceDN/>
        <w:bidi w:val="0"/>
        <w:adjustRightInd/>
        <w:snapToGrid/>
        <w:spacing w:line="240" w:lineRule="auto"/>
        <w:ind w:firstLine="440" w:firstLineChars="200"/>
        <w:jc w:val="left"/>
        <w:textAlignment w:val="center"/>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3.本次采购的标的物需要运输，投标人在合同约定的时间内将标的物运输至合同约定地点。</w:t>
      </w:r>
    </w:p>
    <w:p w14:paraId="2B141E9A">
      <w:pPr>
        <w:pStyle w:val="11"/>
        <w:jc w:val="left"/>
        <w:outlineLvl w:val="1"/>
        <w:rPr>
          <w:rFonts w:hint="eastAsia" w:ascii="仿宋" w:hAnsi="仿宋" w:eastAsia="仿宋" w:cs="仿宋"/>
          <w:highlight w:val="none"/>
          <w:lang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3.4.其他要求</w:t>
      </w:r>
      <w:r>
        <w:rPr>
          <w:rFonts w:hint="eastAsia" w:ascii="仿宋" w:hAnsi="仿宋" w:eastAsia="仿宋" w:cs="仿宋"/>
          <w:b/>
          <w:sz w:val="28"/>
          <w:highlight w:val="none"/>
          <w:lang w:eastAsia="zh-CN"/>
        </w:rPr>
        <w:t>（</w:t>
      </w:r>
      <w:r>
        <w:rPr>
          <w:rFonts w:hint="eastAsia" w:ascii="仿宋" w:hAnsi="仿宋" w:eastAsia="仿宋" w:cs="仿宋"/>
          <w:b/>
          <w:sz w:val="28"/>
          <w:highlight w:val="none"/>
          <w:lang w:val="en-US" w:eastAsia="zh-CN"/>
        </w:rPr>
        <w:t>包1，包2</w:t>
      </w:r>
      <w:r>
        <w:rPr>
          <w:rFonts w:hint="eastAsia" w:ascii="仿宋" w:hAnsi="仿宋" w:eastAsia="仿宋" w:cs="仿宋"/>
          <w:b/>
          <w:sz w:val="28"/>
          <w:highlight w:val="none"/>
          <w:lang w:eastAsia="zh-CN"/>
        </w:rPr>
        <w:t>）</w:t>
      </w:r>
    </w:p>
    <w:p w14:paraId="17DC5BEB">
      <w:pPr>
        <w:pStyle w:val="11"/>
        <w:keepNext w:val="0"/>
        <w:keepLines w:val="0"/>
        <w:pageBreakBefore w:val="0"/>
        <w:kinsoku/>
        <w:wordWrap/>
        <w:overflowPunct/>
        <w:topLinePunct w:val="0"/>
        <w:autoSpaceDE/>
        <w:autoSpaceDN/>
        <w:bidi w:val="0"/>
        <w:adjustRightInd/>
        <w:snapToGrid/>
        <w:jc w:val="left"/>
        <w:outlineLvl w:val="9"/>
        <w:rPr>
          <w:rFonts w:hint="default"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一、</w:t>
      </w:r>
      <w:r>
        <w:rPr>
          <w:rFonts w:hint="default" w:ascii="仿宋" w:hAnsi="仿宋" w:eastAsia="仿宋" w:cs="仿宋"/>
          <w:b/>
          <w:sz w:val="24"/>
          <w:szCs w:val="24"/>
          <w:highlight w:val="none"/>
          <w:lang w:val="en-US" w:eastAsia="zh-CN"/>
        </w:rPr>
        <w:t>违约责任与解决争议的方法：</w:t>
      </w:r>
    </w:p>
    <w:p w14:paraId="66343366">
      <w:pPr>
        <w:pStyle w:val="11"/>
        <w:keepNext w:val="0"/>
        <w:keepLines w:val="0"/>
        <w:pageBreakBefore w:val="0"/>
        <w:kinsoku/>
        <w:wordWrap/>
        <w:overflowPunct/>
        <w:topLinePunct w:val="0"/>
        <w:autoSpaceDE/>
        <w:autoSpaceDN/>
        <w:bidi w:val="0"/>
        <w:adjustRightInd/>
        <w:snapToGrid/>
        <w:spacing w:line="240" w:lineRule="auto"/>
        <w:ind w:firstLine="480" w:firstLineChars="0"/>
        <w:jc w:val="left"/>
        <w:outlineLvl w:val="9"/>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（一）违约责任</w:t>
      </w:r>
    </w:p>
    <w:p w14:paraId="7266C618">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1.中选人逾期15日内不能配送采购人所需医用耗材的，应向采购人每日支付该批次货款千分之三的违约金。</w:t>
      </w:r>
    </w:p>
    <w:p w14:paraId="25BE306D">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2.中选人逾期15日及以上不能配送以上产品的，视同不能供货，须向采购人支付该批次货款的10%的违约金，同时采购人可以单方面解除采购合同。</w:t>
      </w:r>
    </w:p>
    <w:p w14:paraId="2018C7DF">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3.若因中选人原因造成采购人被监管部门通报三次及以上或者造成采购人违规采购，采购人有权单方面解除采购合同。同时，采购人有权要求中选人支付该批货物价款20%的违约金。</w:t>
      </w:r>
    </w:p>
    <w:p w14:paraId="6935B76C">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7B345A80">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5.若根据法律规定或协议约定产生采购人退、换货或拒绝收货情形，由中选人承担退换货产生的各项税、费或其他支出。</w:t>
      </w:r>
    </w:p>
    <w:p w14:paraId="31608F0C">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6.中选人不能保证及时供货，除应当向采购人承担违约责任外，采购人仍有权单方面解除采购合同。</w:t>
      </w:r>
    </w:p>
    <w:p w14:paraId="751DE0D7">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7.因中选人配送的产品不合格造成采购人或第三人人身损害或财产损失的，由中选人承担赔偿责任。</w:t>
      </w:r>
    </w:p>
    <w:p w14:paraId="6122FD8B">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8.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31538B76">
      <w:pPr>
        <w:pStyle w:val="11"/>
        <w:keepNext w:val="0"/>
        <w:keepLines w:val="0"/>
        <w:pageBreakBefore w:val="0"/>
        <w:kinsoku/>
        <w:wordWrap/>
        <w:overflowPunct/>
        <w:topLinePunct w:val="0"/>
        <w:autoSpaceDE/>
        <w:autoSpaceDN/>
        <w:bidi w:val="0"/>
        <w:adjustRightInd/>
        <w:snapToGrid/>
        <w:spacing w:line="240" w:lineRule="auto"/>
        <w:ind w:firstLine="480" w:firstLineChars="0"/>
        <w:jc w:val="left"/>
        <w:outlineLvl w:val="9"/>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（二）解决合同纠纷的方式</w:t>
      </w:r>
    </w:p>
    <w:p w14:paraId="53AE1739">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eastAsia"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1.因货物的质量问题发生的争议，由法定质量鉴定机构或其认可的质量鉴定机构进行质量鉴定。货物符合标准的，鉴定费由采购人承担；货物不符合质量标准的，鉴定费由中选人承担。</w:t>
      </w:r>
    </w:p>
    <w:p w14:paraId="32B706BA">
      <w:pPr>
        <w:keepNext w:val="0"/>
        <w:keepLines w:val="0"/>
        <w:pageBreakBefore w:val="0"/>
        <w:kinsoku/>
        <w:wordWrap/>
        <w:overflowPunct/>
        <w:topLinePunct w:val="0"/>
        <w:autoSpaceDE/>
        <w:autoSpaceDN/>
        <w:bidi w:val="0"/>
        <w:adjustRightInd/>
        <w:snapToGrid/>
        <w:spacing w:line="240" w:lineRule="auto"/>
        <w:ind w:firstLine="440" w:firstLineChars="200"/>
        <w:jc w:val="left"/>
        <w:textAlignment w:val="center"/>
        <w:outlineLvl w:val="9"/>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highlight w:val="none"/>
          <w:u w:val="none"/>
          <w:lang w:val="en-US" w:eastAsia="zh-CN" w:bidi="ar"/>
        </w:rPr>
        <w:t>2.合同履行期间，若双方发生争议，可协商或由有关部门调解解决，协商或调解不成的，可向采购人住所地人民法院依法提起诉讼解决。</w:t>
      </w:r>
    </w:p>
    <w:p w14:paraId="12D6A15E">
      <w:pPr>
        <w:pStyle w:val="11"/>
        <w:keepNext w:val="0"/>
        <w:keepLines w:val="0"/>
        <w:pageBreakBefore w:val="0"/>
        <w:kinsoku/>
        <w:wordWrap/>
        <w:overflowPunct/>
        <w:topLinePunct w:val="0"/>
        <w:autoSpaceDE/>
        <w:autoSpaceDN/>
        <w:bidi w:val="0"/>
        <w:adjustRightInd/>
        <w:snapToGrid/>
        <w:spacing w:line="240" w:lineRule="auto"/>
        <w:ind w:firstLine="480"/>
        <w:jc w:val="left"/>
        <w:outlineLvl w:val="9"/>
        <w:rPr>
          <w:rFonts w:hint="default"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二、</w:t>
      </w:r>
      <w:r>
        <w:rPr>
          <w:rFonts w:hint="default" w:ascii="Times New Roman" w:hAnsi="Times New Roman" w:eastAsia="仿宋" w:cs="Times New Roman"/>
          <w:b/>
          <w:bCs/>
          <w:color w:val="auto"/>
          <w:sz w:val="24"/>
          <w:szCs w:val="24"/>
          <w:highlight w:val="none"/>
          <w:shd w:val="clear" w:color="auto" w:fill="auto"/>
        </w:rPr>
        <w:t>合同履行期限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6DD4E6F1">
      <w:pPr>
        <w:pStyle w:val="11"/>
        <w:keepNext w:val="0"/>
        <w:keepLines w:val="0"/>
        <w:pageBreakBefore w:val="0"/>
        <w:kinsoku/>
        <w:wordWrap/>
        <w:overflowPunct/>
        <w:topLinePunct w:val="0"/>
        <w:autoSpaceDE/>
        <w:autoSpaceDN/>
        <w:bidi w:val="0"/>
        <w:adjustRightInd/>
        <w:snapToGrid/>
        <w:spacing w:line="240" w:lineRule="auto"/>
        <w:ind w:firstLine="480"/>
        <w:jc w:val="left"/>
        <w:outlineLvl w:val="9"/>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三、</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分批次验收。</w:t>
      </w:r>
    </w:p>
    <w:p w14:paraId="2788B055">
      <w:pPr>
        <w:keepNext w:val="0"/>
        <w:keepLines w:val="0"/>
        <w:pageBreakBefore w:val="0"/>
        <w:widowControl w:val="0"/>
        <w:kinsoku/>
        <w:wordWrap/>
        <w:overflowPunct/>
        <w:topLinePunct w:val="0"/>
        <w:autoSpaceDE/>
        <w:autoSpaceDN/>
        <w:bidi w:val="0"/>
        <w:adjustRightInd/>
        <w:snapToGrid/>
        <w:spacing w:line="288" w:lineRule="auto"/>
        <w:ind w:firstLine="482" w:firstLineChars="200"/>
        <w:jc w:val="left"/>
        <w:textAlignment w:val="auto"/>
        <w:rPr>
          <w:rFonts w:hint="eastAsia" w:ascii="仿宋" w:hAnsi="仿宋" w:eastAsia="仿宋" w:cs="仿宋"/>
          <w:color w:val="auto"/>
          <w:kern w:val="2"/>
          <w:sz w:val="24"/>
          <w:szCs w:val="24"/>
          <w:highlight w:val="none"/>
          <w:u w:val="none"/>
          <w:shd w:val="clear" w:color="auto" w:fill="auto"/>
          <w:lang w:val="en-US" w:eastAsia="zh-CN" w:bidi="ar-SA"/>
        </w:rPr>
      </w:pPr>
      <w:r>
        <w:rPr>
          <w:rFonts w:hint="eastAsia" w:ascii="仿宋" w:hAnsi="仿宋" w:eastAsia="仿宋" w:cs="仿宋"/>
          <w:b/>
          <w:bCs/>
          <w:sz w:val="24"/>
          <w:szCs w:val="24"/>
          <w:highlight w:val="none"/>
          <w:lang w:val="en-US" w:eastAsia="zh-CN"/>
        </w:rPr>
        <w:t>四、</w:t>
      </w:r>
      <w:r>
        <w:rPr>
          <w:rFonts w:hint="default" w:ascii="仿宋" w:hAnsi="仿宋" w:eastAsia="仿宋" w:cs="仿宋"/>
          <w:b/>
          <w:bCs/>
          <w:sz w:val="24"/>
          <w:szCs w:val="24"/>
          <w:highlight w:val="none"/>
          <w:lang w:val="en-US" w:eastAsia="zh-CN"/>
        </w:rPr>
        <w:t>履约验收时间：</w:t>
      </w:r>
      <w:r>
        <w:rPr>
          <w:rFonts w:hint="default" w:ascii="仿宋" w:hAnsi="仿宋" w:eastAsia="仿宋" w:cs="仿宋"/>
          <w:color w:val="000000"/>
          <w:kern w:val="0"/>
          <w:sz w:val="22"/>
          <w:szCs w:val="22"/>
          <w:highlight w:val="none"/>
          <w:u w:val="none"/>
          <w:lang w:val="en-US" w:eastAsia="zh-CN" w:bidi="ar"/>
        </w:rPr>
        <w:t>合同期限内，根据</w:t>
      </w:r>
      <w:r>
        <w:rPr>
          <w:rFonts w:hint="eastAsia" w:ascii="仿宋" w:hAnsi="仿宋" w:eastAsia="仿宋" w:cs="仿宋"/>
          <w:color w:val="000000"/>
          <w:kern w:val="0"/>
          <w:sz w:val="22"/>
          <w:szCs w:val="22"/>
          <w:highlight w:val="none"/>
          <w:u w:val="none"/>
          <w:lang w:val="en-US" w:eastAsia="zh-CN" w:bidi="ar"/>
        </w:rPr>
        <w:t>采购人</w:t>
      </w:r>
      <w:r>
        <w:rPr>
          <w:rFonts w:hint="default" w:ascii="仿宋" w:hAnsi="仿宋" w:eastAsia="仿宋" w:cs="仿宋"/>
          <w:color w:val="000000"/>
          <w:kern w:val="0"/>
          <w:sz w:val="22"/>
          <w:szCs w:val="22"/>
          <w:highlight w:val="none"/>
          <w:u w:val="none"/>
          <w:lang w:val="en-US" w:eastAsia="zh-CN" w:bidi="ar"/>
        </w:rPr>
        <w:t>要求分批次送货，完成送货、验收入库视为验收完成</w:t>
      </w:r>
      <w:bookmarkStart w:id="1" w:name="_GoBack"/>
      <w:bookmarkEnd w:id="1"/>
      <w:r>
        <w:rPr>
          <w:rFonts w:hint="eastAsia" w:ascii="仿宋" w:hAnsi="仿宋" w:eastAsia="仿宋" w:cs="仿宋"/>
          <w:color w:val="000000"/>
          <w:kern w:val="0"/>
          <w:sz w:val="21"/>
          <w:szCs w:val="21"/>
          <w:highlight w:val="none"/>
          <w:u w:val="none"/>
          <w:lang w:val="en-US" w:eastAsia="zh-CN" w:bidi="ar"/>
        </w:rPr>
        <w:t>。</w:t>
      </w:r>
    </w:p>
    <w:p w14:paraId="45C403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0FBC2FF0"/>
    <w:rsid w:val="108B406B"/>
    <w:rsid w:val="13BC3A82"/>
    <w:rsid w:val="18864C72"/>
    <w:rsid w:val="1ACE595C"/>
    <w:rsid w:val="1B91392F"/>
    <w:rsid w:val="1C662C9C"/>
    <w:rsid w:val="20611393"/>
    <w:rsid w:val="292D60BE"/>
    <w:rsid w:val="2B7F52C5"/>
    <w:rsid w:val="2B995F96"/>
    <w:rsid w:val="302C5A41"/>
    <w:rsid w:val="34384C9D"/>
    <w:rsid w:val="388A64C7"/>
    <w:rsid w:val="40381AEC"/>
    <w:rsid w:val="42845131"/>
    <w:rsid w:val="47744FDF"/>
    <w:rsid w:val="4A2C259B"/>
    <w:rsid w:val="4A2D1A25"/>
    <w:rsid w:val="4E252B77"/>
    <w:rsid w:val="50931F26"/>
    <w:rsid w:val="5B49748C"/>
    <w:rsid w:val="5C341784"/>
    <w:rsid w:val="5F691A0D"/>
    <w:rsid w:val="67B475D0"/>
    <w:rsid w:val="67BA4749"/>
    <w:rsid w:val="6D846287"/>
    <w:rsid w:val="72E22E65"/>
    <w:rsid w:val="73AD7A2C"/>
    <w:rsid w:val="7B9B4791"/>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99"/>
    <w:pPr>
      <w:snapToGrid w:val="0"/>
      <w:spacing w:line="440" w:lineRule="exact"/>
    </w:pPr>
    <w:rPr>
      <w:rFonts w:ascii="Times New Roman" w:eastAsia="Times New Roman"/>
      <w:sz w:val="20"/>
    </w:rPr>
  </w:style>
  <w:style w:type="paragraph" w:styleId="4">
    <w:name w:val="Body Text Indent"/>
    <w:basedOn w:val="1"/>
    <w:next w:val="5"/>
    <w:qFormat/>
    <w:uiPriority w:val="0"/>
    <w:pPr>
      <w:spacing w:after="120"/>
      <w:ind w:left="420" w:leftChars="200"/>
    </w:pPr>
  </w:style>
  <w:style w:type="paragraph" w:styleId="5">
    <w:name w:val="index 7"/>
    <w:basedOn w:val="1"/>
    <w:next w:val="1"/>
    <w:qFormat/>
    <w:uiPriority w:val="0"/>
    <w:pPr>
      <w:ind w:left="2520"/>
    </w:pPr>
  </w:style>
  <w:style w:type="paragraph" w:styleId="6">
    <w:name w:val="index 1"/>
    <w:basedOn w:val="1"/>
    <w:next w:val="1"/>
    <w:qFormat/>
    <w:uiPriority w:val="0"/>
    <w:pPr>
      <w:widowControl w:val="0"/>
      <w:autoSpaceDE/>
      <w:autoSpaceDN/>
      <w:spacing w:before="0" w:after="0" w:line="240" w:lineRule="auto"/>
      <w:ind w:left="0" w:firstLine="5632"/>
      <w:jc w:val="both"/>
    </w:pPr>
  </w:style>
  <w:style w:type="paragraph" w:styleId="7">
    <w:name w:val="Body Text First Indent 2"/>
    <w:basedOn w:val="4"/>
    <w:next w:val="1"/>
    <w:qFormat/>
    <w:uiPriority w:val="0"/>
    <w:pPr>
      <w:ind w:firstLine="4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null3"/>
    <w:hidden/>
    <w:qFormat/>
    <w:uiPriority w:val="0"/>
    <w:rPr>
      <w:rFonts w:hint="eastAsia" w:asciiTheme="minorHAnsi" w:hAnsiTheme="minorHAnsi" w:eastAsiaTheme="minorEastAsia" w:cstheme="minorBidi"/>
      <w:lang w:val="en-US" w:eastAsia="zh-Hans"/>
    </w:rPr>
  </w:style>
  <w:style w:type="paragraph" w:customStyle="1" w:styleId="12">
    <w:name w:val="Table Paragraph"/>
    <w:basedOn w:val="1"/>
    <w:qFormat/>
    <w:uiPriority w:val="99"/>
    <w:rPr>
      <w:rFonts w:ascii="宋体" w:hAnsi="宋体" w:cs="宋体"/>
    </w:rPr>
  </w:style>
  <w:style w:type="character" w:customStyle="1" w:styleId="13">
    <w:name w:val="font11"/>
    <w:basedOn w:val="10"/>
    <w:qFormat/>
    <w:uiPriority w:val="0"/>
    <w:rPr>
      <w:rFonts w:hint="eastAsia" w:ascii="仿宋" w:hAnsi="仿宋" w:eastAsia="仿宋" w:cs="仿宋"/>
      <w:color w:val="000000"/>
      <w:sz w:val="30"/>
      <w:szCs w:val="30"/>
      <w:u w:val="none"/>
    </w:rPr>
  </w:style>
  <w:style w:type="paragraph" w:customStyle="1" w:styleId="14">
    <w:name w:val="BodyText"/>
    <w:basedOn w:val="1"/>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3872</Words>
  <Characters>3976</Characters>
  <Lines>0</Lines>
  <Paragraphs>0</Paragraphs>
  <TotalTime>0</TotalTime>
  <ScaleCrop>false</ScaleCrop>
  <LinksUpToDate>false</LinksUpToDate>
  <CharactersWithSpaces>3981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2026-07-30T09:30:33Z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