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3ACA44">
      <w:pPr>
        <w:jc w:val="center"/>
        <w:outlineLvl w:val="0"/>
        <w:rPr>
          <w:rFonts w:hint="default" w:ascii="仿宋" w:hAnsi="仿宋" w:eastAsia="仿宋" w:cs="仿宋"/>
          <w:lang w:val="en-US" w:eastAsia="zh-Hans" w:bidi="ar-SA"/>
        </w:rPr>
      </w:pPr>
      <w:bookmarkStart w:id="0" w:name="_Toc23936"/>
      <w:bookmarkStart w:id="1" w:name="_Toc30154"/>
      <w:bookmarkStart w:id="2" w:name="_Toc12995"/>
      <w:bookmarkStart w:id="3" w:name="_Toc27801"/>
      <w:bookmarkStart w:id="4" w:name="_Toc21232"/>
      <w:r>
        <w:rPr>
          <w:rFonts w:hint="eastAsia" w:ascii="仿宋" w:hAnsi="仿宋" w:eastAsia="仿宋" w:cs="仿宋"/>
          <w:b/>
          <w:sz w:val="36"/>
          <w:lang w:val="en-US" w:eastAsia="zh-Hans" w:bidi="ar-SA"/>
        </w:rPr>
        <w:t>第三章 技术、服务及其他要求</w:t>
      </w:r>
      <w:bookmarkEnd w:id="0"/>
      <w:bookmarkEnd w:id="1"/>
      <w:bookmarkEnd w:id="2"/>
      <w:bookmarkEnd w:id="3"/>
      <w:bookmarkEnd w:id="4"/>
    </w:p>
    <w:p w14:paraId="37C3E99C">
      <w:pPr>
        <w:spacing w:line="460" w:lineRule="exact"/>
        <w:ind w:firstLine="480"/>
        <w:jc w:val="both"/>
        <w:rPr>
          <w:rFonts w:hint="default" w:ascii="仿宋" w:hAnsi="仿宋" w:eastAsia="仿宋" w:cs="仿宋"/>
          <w:sz w:val="24"/>
          <w:szCs w:val="24"/>
          <w:lang w:val="en-US" w:eastAsia="zh-Hans" w:bidi="ar-SA"/>
        </w:rPr>
      </w:pPr>
      <w:r>
        <w:rPr>
          <w:rFonts w:hint="eastAsia" w:ascii="仿宋" w:hAnsi="仿宋" w:eastAsia="仿宋" w:cs="仿宋"/>
          <w:sz w:val="24"/>
          <w:szCs w:val="24"/>
          <w:lang w:val="en-US" w:eastAsia="zh-Hans" w:bidi="ar-SA"/>
        </w:rPr>
        <w:t>（注：本章的技术、服务及其他要求中，带“★”的要求为实质性要求。</w:t>
      </w:r>
      <w:r>
        <w:rPr>
          <w:rFonts w:hint="eastAsia" w:ascii="仿宋" w:hAnsi="仿宋" w:eastAsia="仿宋" w:cs="仿宋"/>
          <w:sz w:val="24"/>
          <w:szCs w:val="24"/>
          <w:lang w:val="en-US" w:eastAsia="zh-CN" w:bidi="ar-SA"/>
        </w:rPr>
        <w:t>采购人</w:t>
      </w:r>
      <w:r>
        <w:rPr>
          <w:rFonts w:hint="eastAsia" w:ascii="仿宋" w:hAnsi="仿宋" w:eastAsia="仿宋" w:cs="仿宋"/>
          <w:sz w:val="24"/>
          <w:szCs w:val="24"/>
          <w:lang w:val="en-US" w:eastAsia="zh-Hans" w:bidi="ar-SA"/>
        </w:rPr>
        <w:t>、代理机构应当根据项目实际要求合理设定，并在第五章符合性审查中明确响应要求。）</w:t>
      </w:r>
    </w:p>
    <w:p w14:paraId="14CBFDB6">
      <w:pPr>
        <w:spacing w:line="460" w:lineRule="exact"/>
        <w:jc w:val="both"/>
        <w:outlineLvl w:val="1"/>
        <w:rPr>
          <w:rFonts w:hint="default" w:ascii="仿宋" w:hAnsi="仿宋" w:eastAsia="仿宋" w:cs="仿宋"/>
          <w:sz w:val="24"/>
          <w:szCs w:val="24"/>
          <w:lang w:val="en-US" w:eastAsia="zh-CN" w:bidi="ar-SA"/>
        </w:rPr>
      </w:pPr>
      <w:r>
        <w:rPr>
          <w:rFonts w:hint="eastAsia" w:ascii="仿宋" w:hAnsi="仿宋" w:eastAsia="仿宋" w:cs="仿宋"/>
          <w:b/>
          <w:sz w:val="24"/>
          <w:szCs w:val="24"/>
          <w:lang w:val="en-US" w:eastAsia="zh-Hans" w:bidi="ar-SA"/>
        </w:rPr>
        <w:t>3.1.</w:t>
      </w:r>
      <w:r>
        <w:rPr>
          <w:rFonts w:hint="eastAsia" w:ascii="仿宋" w:hAnsi="仿宋" w:eastAsia="仿宋" w:cs="仿宋"/>
          <w:b/>
          <w:sz w:val="24"/>
          <w:szCs w:val="24"/>
          <w:lang w:val="en-US" w:eastAsia="zh-CN" w:bidi="ar-SA"/>
        </w:rPr>
        <w:t>标的情况</w:t>
      </w:r>
    </w:p>
    <w:p w14:paraId="1395CDFC">
      <w:pPr>
        <w:spacing w:line="460" w:lineRule="exact"/>
        <w:jc w:val="both"/>
        <w:outlineLvl w:val="2"/>
        <w:rPr>
          <w:rFonts w:hint="eastAsia" w:ascii="仿宋" w:hAnsi="仿宋" w:eastAsia="仿宋" w:cs="仿宋"/>
          <w:b/>
          <w:bCs/>
          <w:sz w:val="24"/>
          <w:szCs w:val="24"/>
          <w:lang w:val="en-US" w:eastAsia="zh-Hans" w:bidi="ar-SA"/>
        </w:rPr>
      </w:pPr>
      <w:r>
        <w:rPr>
          <w:rFonts w:hint="eastAsia" w:ascii="仿宋" w:hAnsi="仿宋" w:eastAsia="仿宋" w:cs="仿宋"/>
          <w:b/>
          <w:bCs/>
          <w:sz w:val="24"/>
          <w:szCs w:val="24"/>
          <w:lang w:val="en-US" w:eastAsia="zh-Hans" w:bidi="ar-SA"/>
        </w:rPr>
        <w:t>采购包1：</w:t>
      </w:r>
    </w:p>
    <w:p w14:paraId="715DC6EE">
      <w:pPr>
        <w:spacing w:line="460" w:lineRule="exact"/>
        <w:jc w:val="both"/>
        <w:outlineLvl w:val="2"/>
        <w:rPr>
          <w:rFonts w:hint="default" w:ascii="仿宋" w:hAnsi="仿宋" w:eastAsia="仿宋" w:cs="仿宋"/>
          <w:b/>
          <w:bCs/>
          <w:sz w:val="24"/>
          <w:szCs w:val="24"/>
          <w:lang w:val="en-US" w:eastAsia="zh-Hans" w:bidi="ar-SA"/>
        </w:rPr>
      </w:pPr>
      <w:r>
        <w:rPr>
          <w:rFonts w:hint="default" w:ascii="仿宋" w:hAnsi="仿宋" w:eastAsia="仿宋" w:cs="仿宋"/>
          <w:b/>
          <w:bCs/>
          <w:sz w:val="24"/>
          <w:szCs w:val="24"/>
          <w:lang w:val="en-US" w:eastAsia="zh-Hans" w:bidi="ar-SA"/>
        </w:rPr>
        <w:t>★</w:t>
      </w:r>
      <w:r>
        <w:rPr>
          <w:rFonts w:hint="default" w:ascii="仿宋" w:hAnsi="仿宋" w:eastAsia="仿宋" w:cs="仿宋"/>
          <w:b/>
          <w:bCs/>
          <w:sz w:val="24"/>
          <w:szCs w:val="24"/>
          <w:lang w:val="en-US" w:eastAsia="zh-CN" w:bidi="ar-SA"/>
        </w:rPr>
        <w:t>本项目所有标的均须提供挂网产品；必须为“四川省药品和医用耗材招采管理系统”中已挂网产品（不含正在挂网和备案的产品）。</w:t>
      </w:r>
    </w:p>
    <w:tbl>
      <w:tblPr>
        <w:tblStyle w:val="4"/>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15"/>
        <w:gridCol w:w="750"/>
        <w:gridCol w:w="1759"/>
        <w:gridCol w:w="1210"/>
        <w:gridCol w:w="826"/>
        <w:gridCol w:w="795"/>
        <w:gridCol w:w="1037"/>
        <w:gridCol w:w="1549"/>
      </w:tblGrid>
      <w:tr w14:paraId="38C4B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38" w:hRule="atLeast"/>
          <w:jc w:val="center"/>
        </w:trPr>
        <w:tc>
          <w:tcPr>
            <w:tcW w:w="36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5070219">
            <w:pPr>
              <w:spacing w:line="300" w:lineRule="exact"/>
              <w:ind w:firstLine="0" w:firstLineChars="0"/>
              <w:jc w:val="center"/>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sz w:val="21"/>
                <w:szCs w:val="21"/>
                <w:highlight w:val="none"/>
                <w:shd w:val="clear" w:color="auto" w:fill="auto"/>
                <w:lang w:val="en-US" w:eastAsia="zh-CN"/>
              </w:rPr>
              <w:t>包号</w:t>
            </w:r>
          </w:p>
        </w:tc>
        <w:tc>
          <w:tcPr>
            <w:tcW w:w="439"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FBD4C56">
            <w:pPr>
              <w:spacing w:line="300" w:lineRule="exact"/>
              <w:ind w:firstLine="0" w:firstLineChars="0"/>
              <w:jc w:val="center"/>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sz w:val="21"/>
                <w:szCs w:val="21"/>
                <w:highlight w:val="none"/>
                <w:shd w:val="clear" w:color="auto" w:fill="auto"/>
                <w:lang w:val="en-US" w:eastAsia="zh-CN"/>
              </w:rPr>
              <w:t>编号</w:t>
            </w:r>
          </w:p>
        </w:tc>
        <w:tc>
          <w:tcPr>
            <w:tcW w:w="1029"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55F7F3F">
            <w:pPr>
              <w:spacing w:line="300" w:lineRule="exact"/>
              <w:ind w:firstLine="0" w:firstLineChars="0"/>
              <w:jc w:val="center"/>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sz w:val="21"/>
                <w:szCs w:val="21"/>
                <w:highlight w:val="none"/>
                <w:shd w:val="clear" w:color="auto" w:fill="auto"/>
                <w:lang w:val="en-US" w:eastAsia="zh-CN"/>
              </w:rPr>
              <w:t>标的名称</w:t>
            </w:r>
          </w:p>
        </w:tc>
        <w:tc>
          <w:tcPr>
            <w:tcW w:w="708"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8E627EA">
            <w:pPr>
              <w:spacing w:line="300" w:lineRule="exact"/>
              <w:ind w:firstLine="0" w:firstLineChars="0"/>
              <w:jc w:val="center"/>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sz w:val="21"/>
                <w:szCs w:val="21"/>
                <w:highlight w:val="none"/>
                <w:shd w:val="clear" w:color="auto" w:fill="auto"/>
                <w:lang w:val="en-US" w:eastAsia="zh-CN"/>
              </w:rPr>
              <w:t>最高单价限价（元）</w:t>
            </w:r>
          </w:p>
        </w:tc>
        <w:tc>
          <w:tcPr>
            <w:tcW w:w="483"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843F9FE">
            <w:pPr>
              <w:spacing w:line="300" w:lineRule="exact"/>
              <w:ind w:firstLine="0" w:firstLineChars="0"/>
              <w:jc w:val="center"/>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sz w:val="21"/>
                <w:szCs w:val="21"/>
                <w:highlight w:val="none"/>
                <w:shd w:val="clear" w:color="auto" w:fill="auto"/>
                <w:lang w:val="en-US" w:eastAsia="zh-CN"/>
              </w:rPr>
              <w:t>使用数量</w:t>
            </w:r>
          </w:p>
        </w:tc>
        <w:tc>
          <w:tcPr>
            <w:tcW w:w="465"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E24B28D">
            <w:pPr>
              <w:spacing w:line="300" w:lineRule="exact"/>
              <w:ind w:firstLine="0" w:firstLineChars="0"/>
              <w:jc w:val="center"/>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sz w:val="21"/>
                <w:szCs w:val="21"/>
                <w:highlight w:val="none"/>
                <w:shd w:val="clear" w:color="auto" w:fill="auto"/>
                <w:lang w:val="en-US" w:eastAsia="zh-CN"/>
              </w:rPr>
              <w:t>参考计量单位</w:t>
            </w:r>
          </w:p>
        </w:tc>
        <w:tc>
          <w:tcPr>
            <w:tcW w:w="607"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C884809">
            <w:pPr>
              <w:spacing w:line="300" w:lineRule="exact"/>
              <w:ind w:firstLine="0" w:firstLineChars="0"/>
              <w:jc w:val="center"/>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sz w:val="21"/>
                <w:szCs w:val="21"/>
                <w:highlight w:val="none"/>
                <w:shd w:val="clear" w:color="auto" w:fill="auto"/>
                <w:lang w:val="en-US" w:eastAsia="zh-CN"/>
              </w:rPr>
              <w:t>项目</w:t>
            </w:r>
            <w:r>
              <w:rPr>
                <w:rFonts w:hint="eastAsia" w:ascii="仿宋" w:hAnsi="仿宋" w:eastAsia="仿宋" w:cs="仿宋"/>
                <w:b/>
                <w:bCs/>
                <w:color w:val="auto"/>
                <w:sz w:val="21"/>
                <w:szCs w:val="21"/>
                <w:highlight w:val="none"/>
                <w:shd w:val="clear" w:color="auto" w:fill="auto"/>
              </w:rPr>
              <w:t>最高限价</w:t>
            </w:r>
            <w:r>
              <w:rPr>
                <w:rFonts w:hint="eastAsia" w:ascii="仿宋" w:hAnsi="仿宋" w:eastAsia="仿宋" w:cs="仿宋"/>
                <w:b/>
                <w:bCs/>
                <w:color w:val="auto"/>
                <w:sz w:val="21"/>
                <w:szCs w:val="21"/>
                <w:highlight w:val="none"/>
                <w:shd w:val="clear" w:color="auto" w:fill="auto"/>
                <w:lang w:val="en-US" w:eastAsia="zh-CN"/>
              </w:rPr>
              <w:t>（元）</w:t>
            </w:r>
          </w:p>
        </w:tc>
        <w:tc>
          <w:tcPr>
            <w:tcW w:w="906"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1C6754A">
            <w:pPr>
              <w:spacing w:line="300" w:lineRule="exact"/>
              <w:ind w:firstLine="0" w:firstLineChars="0"/>
              <w:jc w:val="center"/>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sz w:val="21"/>
                <w:szCs w:val="21"/>
                <w:highlight w:val="none"/>
                <w:shd w:val="clear" w:color="auto" w:fill="auto"/>
                <w:lang w:val="en-US" w:eastAsia="zh-CN"/>
              </w:rPr>
              <w:t>功能和质量要求</w:t>
            </w:r>
          </w:p>
        </w:tc>
      </w:tr>
      <w:tr w14:paraId="387F7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 w:hRule="atLeast"/>
          <w:jc w:val="center"/>
        </w:trPr>
        <w:tc>
          <w:tcPr>
            <w:tcW w:w="360"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1ACDDA72">
            <w:pPr>
              <w:spacing w:line="300" w:lineRule="exact"/>
              <w:ind w:firstLine="0" w:firstLineChars="0"/>
              <w:jc w:val="center"/>
              <w:rPr>
                <w:rFonts w:hint="default"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w:t>
            </w:r>
          </w:p>
        </w:tc>
        <w:tc>
          <w:tcPr>
            <w:tcW w:w="43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77DAA258">
            <w:pPr>
              <w:keepNext w:val="0"/>
              <w:keepLines w:val="0"/>
              <w:widowControl/>
              <w:suppressLineNumbers w:val="0"/>
              <w:spacing w:line="300" w:lineRule="exact"/>
              <w:ind w:firstLine="0" w:firstLineChars="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102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700116E2">
            <w:pPr>
              <w:spacing w:line="300" w:lineRule="exact"/>
              <w:ind w:firstLine="0" w:firstLineChars="0"/>
              <w:jc w:val="center"/>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一次性体外循环用配套血管路</w:t>
            </w:r>
          </w:p>
        </w:tc>
        <w:tc>
          <w:tcPr>
            <w:tcW w:w="1210" w:type="dxa"/>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1DAB0568">
            <w:pPr>
              <w:widowControl/>
              <w:tabs>
                <w:tab w:val="center" w:pos="365"/>
                <w:tab w:val="left" w:pos="526"/>
              </w:tabs>
              <w:spacing w:line="300" w:lineRule="exact"/>
              <w:ind w:firstLine="0" w:firstLineChars="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b w:val="0"/>
                <w:bCs w:val="0"/>
                <w:color w:val="auto"/>
                <w:sz w:val="21"/>
                <w:szCs w:val="21"/>
                <w:highlight w:val="none"/>
                <w:shd w:val="clear" w:color="auto" w:fill="auto"/>
                <w:lang w:val="en-US" w:eastAsia="zh-CN"/>
              </w:rPr>
              <w:t>282.5</w:t>
            </w:r>
          </w:p>
        </w:tc>
        <w:tc>
          <w:tcPr>
            <w:tcW w:w="483"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70AB5A3D">
            <w:pPr>
              <w:spacing w:line="300" w:lineRule="exact"/>
              <w:ind w:firstLine="0" w:firstLineChars="0"/>
              <w:jc w:val="center"/>
              <w:rPr>
                <w:rFonts w:hint="default" w:ascii="方正仿宋_GB18030" w:hAnsi="方正仿宋_GB18030" w:eastAsia="方正仿宋_GB18030" w:cs="方正仿宋_GB18030"/>
                <w:b w:val="0"/>
                <w:bCs w:val="0"/>
                <w:color w:val="auto"/>
                <w:kern w:val="2"/>
                <w:sz w:val="21"/>
                <w:szCs w:val="21"/>
                <w:highlight w:val="none"/>
                <w:shd w:val="clear" w:color="auto" w:fill="auto"/>
                <w:lang w:val="en-US" w:eastAsia="zh-CN" w:bidi="ar-SA"/>
              </w:rPr>
            </w:pPr>
            <w:r>
              <w:rPr>
                <w:rFonts w:hint="eastAsia" w:ascii="仿宋" w:hAnsi="仿宋" w:eastAsia="仿宋" w:cs="仿宋"/>
                <w:b w:val="0"/>
                <w:bCs w:val="0"/>
                <w:color w:val="auto"/>
                <w:sz w:val="21"/>
                <w:szCs w:val="21"/>
                <w:highlight w:val="none"/>
                <w:shd w:val="clear" w:color="auto" w:fill="auto"/>
                <w:lang w:val="en-US" w:eastAsia="zh-CN"/>
              </w:rPr>
              <w:t>按计划</w:t>
            </w:r>
          </w:p>
        </w:tc>
        <w:tc>
          <w:tcPr>
            <w:tcW w:w="795" w:type="dxa"/>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4768255B">
            <w:pPr>
              <w:widowControl/>
              <w:tabs>
                <w:tab w:val="center" w:pos="365"/>
                <w:tab w:val="left" w:pos="526"/>
              </w:tabs>
              <w:spacing w:line="300" w:lineRule="exact"/>
              <w:ind w:left="0" w:leftChars="0" w:firstLine="0" w:firstLineChars="0"/>
              <w:jc w:val="center"/>
              <w:textAlignment w:val="center"/>
              <w:rPr>
                <w:rFonts w:hint="eastAsia" w:ascii="方正仿宋_GB18030" w:hAnsi="方正仿宋_GB18030" w:eastAsia="方正仿宋_GB18030" w:cs="方正仿宋_GB18030"/>
                <w:b w:val="0"/>
                <w:bCs w:val="0"/>
                <w:color w:val="auto"/>
                <w:kern w:val="2"/>
                <w:sz w:val="21"/>
                <w:szCs w:val="21"/>
                <w:highlight w:val="none"/>
                <w:shd w:val="clear" w:color="auto" w:fill="auto"/>
                <w:lang w:val="en-US" w:eastAsia="zh-CN" w:bidi="ar-SA"/>
              </w:rPr>
            </w:pPr>
            <w:r>
              <w:rPr>
                <w:rFonts w:hint="eastAsia" w:ascii="仿宋" w:hAnsi="仿宋" w:eastAsia="仿宋" w:cs="仿宋"/>
                <w:b w:val="0"/>
                <w:bCs w:val="0"/>
                <w:color w:val="auto"/>
                <w:sz w:val="21"/>
                <w:szCs w:val="21"/>
                <w:highlight w:val="none"/>
                <w:shd w:val="clear" w:color="auto" w:fill="auto"/>
                <w:lang w:val="en-US" w:eastAsia="zh-CN"/>
              </w:rPr>
              <w:t>套</w:t>
            </w:r>
          </w:p>
        </w:tc>
        <w:tc>
          <w:tcPr>
            <w:tcW w:w="607"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29D7FB3A">
            <w:pPr>
              <w:spacing w:line="300" w:lineRule="exact"/>
              <w:ind w:firstLine="0" w:firstLineChars="0"/>
              <w:jc w:val="center"/>
              <w:rPr>
                <w:rFonts w:hint="eastAsia" w:ascii="方正仿宋_GB18030" w:hAnsi="方正仿宋_GB18030" w:eastAsia="方正仿宋_GB18030" w:cs="方正仿宋_GB18030"/>
                <w:b w:val="0"/>
                <w:bCs w:val="0"/>
                <w:color w:val="auto"/>
                <w:kern w:val="2"/>
                <w:sz w:val="21"/>
                <w:szCs w:val="21"/>
                <w:highlight w:val="none"/>
                <w:shd w:val="clear" w:color="auto" w:fill="auto"/>
                <w:lang w:val="en-US" w:eastAsia="zh-CN" w:bidi="ar-SA"/>
              </w:rPr>
            </w:pPr>
            <w:r>
              <w:rPr>
                <w:rFonts w:hint="eastAsia" w:ascii="仿宋" w:hAnsi="仿宋" w:eastAsia="仿宋" w:cs="仿宋"/>
                <w:b w:val="0"/>
                <w:bCs w:val="0"/>
                <w:color w:val="auto"/>
                <w:sz w:val="21"/>
                <w:szCs w:val="21"/>
                <w:highlight w:val="none"/>
                <w:shd w:val="clear" w:color="auto" w:fill="auto"/>
                <w:lang w:val="en-US" w:eastAsia="zh-CN"/>
              </w:rPr>
              <w:t>据实结算</w:t>
            </w:r>
          </w:p>
        </w:tc>
        <w:tc>
          <w:tcPr>
            <w:tcW w:w="906"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68DAB91B">
            <w:pPr>
              <w:spacing w:line="300" w:lineRule="exact"/>
              <w:ind w:firstLine="0" w:firstLineChars="0"/>
              <w:jc w:val="center"/>
              <w:rPr>
                <w:rFonts w:hint="eastAsia" w:ascii="方正仿宋_GB18030" w:hAnsi="方正仿宋_GB18030" w:eastAsia="方正仿宋_GB18030" w:cs="方正仿宋_GB18030"/>
                <w:b w:val="0"/>
                <w:bCs w:val="0"/>
                <w:color w:val="auto"/>
                <w:kern w:val="2"/>
                <w:sz w:val="21"/>
                <w:szCs w:val="21"/>
                <w:highlight w:val="none"/>
                <w:shd w:val="clear" w:color="auto" w:fill="auto"/>
                <w:lang w:val="en-US" w:eastAsia="zh-CN" w:bidi="ar-SA"/>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详见《</w:t>
            </w:r>
            <w:r>
              <w:rPr>
                <w:rFonts w:hint="eastAsia" w:ascii="方正仿宋_GB18030" w:hAnsi="方正仿宋_GB18030" w:eastAsia="方正仿宋_GB18030" w:cs="方正仿宋_GB18030"/>
                <w:color w:val="auto"/>
                <w:sz w:val="21"/>
                <w:szCs w:val="21"/>
                <w:highlight w:val="none"/>
                <w:shd w:val="clear" w:color="auto" w:fill="auto"/>
              </w:rPr>
              <w:t>3.2.技术要求</w:t>
            </w: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w:t>
            </w:r>
          </w:p>
        </w:tc>
      </w:tr>
      <w:tr w14:paraId="639E4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 w:hRule="atLeast"/>
          <w:jc w:val="center"/>
        </w:trPr>
        <w:tc>
          <w:tcPr>
            <w:tcW w:w="360"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260C056C">
            <w:pPr>
              <w:spacing w:line="300" w:lineRule="exact"/>
              <w:ind w:firstLine="0" w:firstLineChars="0"/>
              <w:jc w:val="center"/>
              <w:rPr>
                <w:rFonts w:hint="default"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w:t>
            </w:r>
          </w:p>
        </w:tc>
        <w:tc>
          <w:tcPr>
            <w:tcW w:w="43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516C8D1C">
            <w:pPr>
              <w:keepNext w:val="0"/>
              <w:keepLines w:val="0"/>
              <w:widowControl/>
              <w:suppressLineNumbers w:val="0"/>
              <w:spacing w:line="300" w:lineRule="exact"/>
              <w:ind w:firstLine="0" w:firstLineChars="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102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7D49D864">
            <w:pPr>
              <w:spacing w:line="300" w:lineRule="exact"/>
              <w:ind w:firstLine="0" w:firstLineChars="0"/>
              <w:jc w:val="center"/>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一次性使用体外循环配套静脉插管</w:t>
            </w:r>
          </w:p>
        </w:tc>
        <w:tc>
          <w:tcPr>
            <w:tcW w:w="1210" w:type="dxa"/>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5906B072">
            <w:pPr>
              <w:widowControl/>
              <w:tabs>
                <w:tab w:val="center" w:pos="365"/>
                <w:tab w:val="left" w:pos="526"/>
              </w:tabs>
              <w:spacing w:line="300" w:lineRule="exact"/>
              <w:ind w:firstLine="0" w:firstLineChars="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b w:val="0"/>
                <w:bCs w:val="0"/>
                <w:color w:val="auto"/>
                <w:sz w:val="21"/>
                <w:szCs w:val="21"/>
                <w:highlight w:val="none"/>
                <w:shd w:val="clear" w:color="auto" w:fill="auto"/>
                <w:lang w:val="en-US" w:eastAsia="zh-CN"/>
              </w:rPr>
              <w:t>90</w:t>
            </w:r>
          </w:p>
        </w:tc>
        <w:tc>
          <w:tcPr>
            <w:tcW w:w="483"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7E6DEF83">
            <w:pPr>
              <w:spacing w:line="30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按计划</w:t>
            </w:r>
          </w:p>
        </w:tc>
        <w:tc>
          <w:tcPr>
            <w:tcW w:w="795" w:type="dxa"/>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6BC61E00">
            <w:pPr>
              <w:widowControl/>
              <w:tabs>
                <w:tab w:val="center" w:pos="365"/>
                <w:tab w:val="left" w:pos="526"/>
              </w:tabs>
              <w:spacing w:line="300" w:lineRule="exact"/>
              <w:ind w:left="0" w:leftChars="0" w:firstLine="0" w:firstLineChars="0"/>
              <w:jc w:val="center"/>
              <w:textAlignment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套</w:t>
            </w:r>
          </w:p>
        </w:tc>
        <w:tc>
          <w:tcPr>
            <w:tcW w:w="607"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4C1BA4D1">
            <w:pPr>
              <w:spacing w:line="30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据实结算</w:t>
            </w:r>
          </w:p>
        </w:tc>
        <w:tc>
          <w:tcPr>
            <w:tcW w:w="906"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28C53DFD">
            <w:pPr>
              <w:spacing w:line="30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详见《3.2.技术要求》</w:t>
            </w:r>
          </w:p>
        </w:tc>
      </w:tr>
      <w:tr w14:paraId="5B9FB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 w:hRule="atLeast"/>
          <w:jc w:val="center"/>
        </w:trPr>
        <w:tc>
          <w:tcPr>
            <w:tcW w:w="360"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3C6346A3">
            <w:pPr>
              <w:spacing w:line="300" w:lineRule="exact"/>
              <w:ind w:firstLine="0" w:firstLineChars="0"/>
              <w:jc w:val="center"/>
              <w:rPr>
                <w:rFonts w:hint="default"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w:t>
            </w:r>
          </w:p>
        </w:tc>
        <w:tc>
          <w:tcPr>
            <w:tcW w:w="43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768DF42C">
            <w:pPr>
              <w:keepNext w:val="0"/>
              <w:keepLines w:val="0"/>
              <w:widowControl/>
              <w:suppressLineNumbers w:val="0"/>
              <w:spacing w:line="300" w:lineRule="exact"/>
              <w:ind w:firstLine="0" w:firstLineChars="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p>
        </w:tc>
        <w:tc>
          <w:tcPr>
            <w:tcW w:w="102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1CB7A084">
            <w:pPr>
              <w:spacing w:line="300" w:lineRule="exact"/>
              <w:ind w:firstLine="0" w:firstLineChars="0"/>
              <w:jc w:val="center"/>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一次性使用体外循环配套静脉插管</w:t>
            </w:r>
          </w:p>
        </w:tc>
        <w:tc>
          <w:tcPr>
            <w:tcW w:w="1210" w:type="dxa"/>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52049040">
            <w:pPr>
              <w:widowControl/>
              <w:tabs>
                <w:tab w:val="center" w:pos="365"/>
                <w:tab w:val="left" w:pos="526"/>
              </w:tabs>
              <w:spacing w:line="300" w:lineRule="exact"/>
              <w:ind w:firstLine="0" w:firstLineChars="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b w:val="0"/>
                <w:bCs w:val="0"/>
                <w:color w:val="auto"/>
                <w:sz w:val="21"/>
                <w:szCs w:val="21"/>
                <w:highlight w:val="none"/>
                <w:shd w:val="clear" w:color="auto" w:fill="auto"/>
                <w:lang w:val="en-US" w:eastAsia="zh-CN"/>
              </w:rPr>
              <w:t>220</w:t>
            </w:r>
          </w:p>
        </w:tc>
        <w:tc>
          <w:tcPr>
            <w:tcW w:w="483"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15200437">
            <w:pPr>
              <w:spacing w:line="30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按计划</w:t>
            </w:r>
          </w:p>
        </w:tc>
        <w:tc>
          <w:tcPr>
            <w:tcW w:w="795" w:type="dxa"/>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0B67603F">
            <w:pPr>
              <w:widowControl/>
              <w:tabs>
                <w:tab w:val="center" w:pos="365"/>
                <w:tab w:val="left" w:pos="526"/>
              </w:tabs>
              <w:spacing w:line="300" w:lineRule="exact"/>
              <w:ind w:left="0" w:leftChars="0" w:firstLine="0" w:firstLineChars="0"/>
              <w:jc w:val="center"/>
              <w:textAlignment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套</w:t>
            </w:r>
          </w:p>
        </w:tc>
        <w:tc>
          <w:tcPr>
            <w:tcW w:w="607"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4A326CE8">
            <w:pPr>
              <w:spacing w:line="30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据实结算</w:t>
            </w:r>
          </w:p>
        </w:tc>
        <w:tc>
          <w:tcPr>
            <w:tcW w:w="906"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4030244B">
            <w:pPr>
              <w:spacing w:line="30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详见《3.2.技术要求》</w:t>
            </w:r>
          </w:p>
        </w:tc>
      </w:tr>
      <w:tr w14:paraId="57207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 w:hRule="atLeast"/>
          <w:jc w:val="center"/>
        </w:trPr>
        <w:tc>
          <w:tcPr>
            <w:tcW w:w="360"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71DD573D">
            <w:pPr>
              <w:spacing w:line="300" w:lineRule="exact"/>
              <w:ind w:firstLine="0" w:firstLineChars="0"/>
              <w:jc w:val="center"/>
              <w:rPr>
                <w:rFonts w:hint="default"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w:t>
            </w:r>
          </w:p>
        </w:tc>
        <w:tc>
          <w:tcPr>
            <w:tcW w:w="43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4B209D93">
            <w:pPr>
              <w:keepNext w:val="0"/>
              <w:keepLines w:val="0"/>
              <w:widowControl/>
              <w:suppressLineNumbers w:val="0"/>
              <w:spacing w:line="300" w:lineRule="exact"/>
              <w:ind w:firstLine="0" w:firstLineChars="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w:t>
            </w:r>
          </w:p>
        </w:tc>
        <w:tc>
          <w:tcPr>
            <w:tcW w:w="102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58E7A15A">
            <w:pPr>
              <w:spacing w:line="300" w:lineRule="exact"/>
              <w:ind w:firstLine="0" w:firstLineChars="0"/>
              <w:jc w:val="center"/>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一次性使用心机保护液灌注装置</w:t>
            </w:r>
          </w:p>
        </w:tc>
        <w:tc>
          <w:tcPr>
            <w:tcW w:w="1210" w:type="dxa"/>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01FB699E">
            <w:pPr>
              <w:widowControl/>
              <w:tabs>
                <w:tab w:val="center" w:pos="365"/>
                <w:tab w:val="left" w:pos="526"/>
              </w:tabs>
              <w:spacing w:line="300" w:lineRule="exact"/>
              <w:ind w:firstLine="0" w:firstLineChars="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b w:val="0"/>
                <w:bCs w:val="0"/>
                <w:color w:val="auto"/>
                <w:sz w:val="21"/>
                <w:szCs w:val="21"/>
                <w:highlight w:val="none"/>
                <w:shd w:val="clear" w:color="auto" w:fill="auto"/>
                <w:lang w:val="en-US" w:eastAsia="zh-CN"/>
              </w:rPr>
              <w:t>挂网价</w:t>
            </w:r>
          </w:p>
        </w:tc>
        <w:tc>
          <w:tcPr>
            <w:tcW w:w="483"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72CFCACE">
            <w:pPr>
              <w:spacing w:line="30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按计划</w:t>
            </w:r>
          </w:p>
        </w:tc>
        <w:tc>
          <w:tcPr>
            <w:tcW w:w="795" w:type="dxa"/>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33137A1F">
            <w:pPr>
              <w:widowControl/>
              <w:tabs>
                <w:tab w:val="center" w:pos="365"/>
                <w:tab w:val="left" w:pos="526"/>
              </w:tabs>
              <w:spacing w:line="300" w:lineRule="exact"/>
              <w:ind w:left="0" w:leftChars="0" w:firstLine="0" w:firstLineChars="0"/>
              <w:jc w:val="center"/>
              <w:textAlignment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套</w:t>
            </w:r>
          </w:p>
        </w:tc>
        <w:tc>
          <w:tcPr>
            <w:tcW w:w="607"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2962D479">
            <w:pPr>
              <w:spacing w:line="30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据实结算</w:t>
            </w:r>
          </w:p>
        </w:tc>
        <w:tc>
          <w:tcPr>
            <w:tcW w:w="906"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012CF261">
            <w:pPr>
              <w:spacing w:line="30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详见《3.2.技术要求》</w:t>
            </w:r>
          </w:p>
        </w:tc>
      </w:tr>
      <w:tr w14:paraId="32E37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 w:hRule="atLeast"/>
          <w:jc w:val="center"/>
        </w:trPr>
        <w:tc>
          <w:tcPr>
            <w:tcW w:w="360"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303DDD65">
            <w:pPr>
              <w:spacing w:line="300" w:lineRule="exact"/>
              <w:ind w:firstLine="0" w:firstLineChars="0"/>
              <w:jc w:val="center"/>
              <w:rPr>
                <w:rFonts w:hint="default"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w:t>
            </w:r>
          </w:p>
        </w:tc>
        <w:tc>
          <w:tcPr>
            <w:tcW w:w="43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24880E6D">
            <w:pPr>
              <w:keepNext w:val="0"/>
              <w:keepLines w:val="0"/>
              <w:widowControl/>
              <w:suppressLineNumbers w:val="0"/>
              <w:spacing w:line="300" w:lineRule="exact"/>
              <w:ind w:firstLine="0" w:firstLineChars="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w:t>
            </w:r>
          </w:p>
        </w:tc>
        <w:tc>
          <w:tcPr>
            <w:tcW w:w="102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46004C9A">
            <w:pPr>
              <w:spacing w:line="300" w:lineRule="exact"/>
              <w:ind w:firstLine="0" w:firstLineChars="0"/>
              <w:jc w:val="center"/>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一次性使用动脉微栓过滤器</w:t>
            </w:r>
          </w:p>
        </w:tc>
        <w:tc>
          <w:tcPr>
            <w:tcW w:w="1210" w:type="dxa"/>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7D6EE798">
            <w:pPr>
              <w:widowControl/>
              <w:tabs>
                <w:tab w:val="center" w:pos="365"/>
                <w:tab w:val="left" w:pos="526"/>
              </w:tabs>
              <w:spacing w:line="300" w:lineRule="exact"/>
              <w:ind w:firstLine="0" w:firstLineChars="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b w:val="0"/>
                <w:bCs w:val="0"/>
                <w:color w:val="auto"/>
                <w:sz w:val="21"/>
                <w:szCs w:val="21"/>
                <w:highlight w:val="none"/>
                <w:shd w:val="clear" w:color="auto" w:fill="auto"/>
                <w:lang w:val="en-US" w:eastAsia="zh-CN"/>
              </w:rPr>
              <w:t>85</w:t>
            </w:r>
          </w:p>
        </w:tc>
        <w:tc>
          <w:tcPr>
            <w:tcW w:w="483"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02F3902A">
            <w:pPr>
              <w:spacing w:line="30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按计划</w:t>
            </w:r>
          </w:p>
        </w:tc>
        <w:tc>
          <w:tcPr>
            <w:tcW w:w="795" w:type="dxa"/>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4A1AD92B">
            <w:pPr>
              <w:widowControl/>
              <w:tabs>
                <w:tab w:val="center" w:pos="365"/>
                <w:tab w:val="left" w:pos="526"/>
              </w:tabs>
              <w:spacing w:line="300" w:lineRule="exact"/>
              <w:ind w:left="0" w:leftChars="0" w:firstLine="0" w:firstLineChars="0"/>
              <w:jc w:val="center"/>
              <w:textAlignment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套</w:t>
            </w:r>
          </w:p>
        </w:tc>
        <w:tc>
          <w:tcPr>
            <w:tcW w:w="607"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426232DF">
            <w:pPr>
              <w:spacing w:line="30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据实结算</w:t>
            </w:r>
          </w:p>
        </w:tc>
        <w:tc>
          <w:tcPr>
            <w:tcW w:w="906"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52B9EB41">
            <w:pPr>
              <w:spacing w:line="30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详见《3.2.技术要求》</w:t>
            </w:r>
          </w:p>
        </w:tc>
      </w:tr>
      <w:tr w14:paraId="28AE9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 w:hRule="atLeast"/>
          <w:jc w:val="center"/>
        </w:trPr>
        <w:tc>
          <w:tcPr>
            <w:tcW w:w="360"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1F79A98B">
            <w:pPr>
              <w:spacing w:line="300" w:lineRule="exact"/>
              <w:ind w:firstLine="0" w:firstLineChars="0"/>
              <w:jc w:val="center"/>
              <w:rPr>
                <w:rFonts w:hint="default"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w:t>
            </w:r>
          </w:p>
        </w:tc>
        <w:tc>
          <w:tcPr>
            <w:tcW w:w="43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01B1ACA2">
            <w:pPr>
              <w:keepNext w:val="0"/>
              <w:keepLines w:val="0"/>
              <w:widowControl/>
              <w:suppressLineNumbers w:val="0"/>
              <w:spacing w:line="300" w:lineRule="exact"/>
              <w:ind w:firstLine="0" w:firstLineChars="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w:t>
            </w:r>
          </w:p>
        </w:tc>
        <w:tc>
          <w:tcPr>
            <w:tcW w:w="102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22475369">
            <w:pPr>
              <w:spacing w:line="300" w:lineRule="exact"/>
              <w:ind w:firstLine="0" w:firstLineChars="0"/>
              <w:jc w:val="center"/>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一次性使用左心吸引头</w:t>
            </w:r>
          </w:p>
        </w:tc>
        <w:tc>
          <w:tcPr>
            <w:tcW w:w="1210" w:type="dxa"/>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69C7CFB8">
            <w:pPr>
              <w:widowControl/>
              <w:tabs>
                <w:tab w:val="center" w:pos="365"/>
                <w:tab w:val="left" w:pos="526"/>
              </w:tabs>
              <w:spacing w:line="300" w:lineRule="exact"/>
              <w:ind w:firstLine="0" w:firstLineChars="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b w:val="0"/>
                <w:bCs w:val="0"/>
                <w:color w:val="auto"/>
                <w:sz w:val="21"/>
                <w:szCs w:val="21"/>
                <w:highlight w:val="none"/>
                <w:shd w:val="clear" w:color="auto" w:fill="auto"/>
                <w:lang w:val="en-US" w:eastAsia="zh-CN"/>
              </w:rPr>
              <w:t>200</w:t>
            </w:r>
          </w:p>
        </w:tc>
        <w:tc>
          <w:tcPr>
            <w:tcW w:w="483"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50D87ECC">
            <w:pPr>
              <w:spacing w:line="30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按计划</w:t>
            </w:r>
          </w:p>
        </w:tc>
        <w:tc>
          <w:tcPr>
            <w:tcW w:w="795" w:type="dxa"/>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0CB1C40F">
            <w:pPr>
              <w:widowControl/>
              <w:tabs>
                <w:tab w:val="center" w:pos="365"/>
                <w:tab w:val="left" w:pos="526"/>
              </w:tabs>
              <w:spacing w:line="300" w:lineRule="exact"/>
              <w:ind w:left="0" w:leftChars="0" w:firstLine="0" w:firstLineChars="0"/>
              <w:jc w:val="center"/>
              <w:textAlignment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套</w:t>
            </w:r>
          </w:p>
        </w:tc>
        <w:tc>
          <w:tcPr>
            <w:tcW w:w="607"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11284CBC">
            <w:pPr>
              <w:spacing w:line="30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据实结算</w:t>
            </w:r>
          </w:p>
        </w:tc>
        <w:tc>
          <w:tcPr>
            <w:tcW w:w="906"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65C16656">
            <w:pPr>
              <w:spacing w:line="30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详见《3.2.技术要求》</w:t>
            </w:r>
          </w:p>
        </w:tc>
      </w:tr>
      <w:tr w14:paraId="385E9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 w:hRule="atLeast"/>
          <w:jc w:val="center"/>
        </w:trPr>
        <w:tc>
          <w:tcPr>
            <w:tcW w:w="360"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3678459C">
            <w:pPr>
              <w:spacing w:line="300" w:lineRule="exact"/>
              <w:ind w:firstLine="0" w:firstLineChars="0"/>
              <w:jc w:val="center"/>
              <w:rPr>
                <w:rFonts w:hint="default"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w:t>
            </w:r>
          </w:p>
        </w:tc>
        <w:tc>
          <w:tcPr>
            <w:tcW w:w="43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53AA72CF">
            <w:pPr>
              <w:keepNext w:val="0"/>
              <w:keepLines w:val="0"/>
              <w:widowControl/>
              <w:suppressLineNumbers w:val="0"/>
              <w:spacing w:line="300" w:lineRule="exact"/>
              <w:ind w:firstLine="0" w:firstLineChars="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w:t>
            </w:r>
          </w:p>
        </w:tc>
        <w:tc>
          <w:tcPr>
            <w:tcW w:w="102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1E516D07">
            <w:pPr>
              <w:spacing w:line="300" w:lineRule="exact"/>
              <w:ind w:firstLine="0" w:firstLineChars="0"/>
              <w:jc w:val="center"/>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一次性使用灌注管</w:t>
            </w:r>
          </w:p>
        </w:tc>
        <w:tc>
          <w:tcPr>
            <w:tcW w:w="1210" w:type="dxa"/>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2867BA86">
            <w:pPr>
              <w:widowControl/>
              <w:tabs>
                <w:tab w:val="center" w:pos="365"/>
                <w:tab w:val="left" w:pos="526"/>
              </w:tabs>
              <w:spacing w:line="300" w:lineRule="exact"/>
              <w:ind w:firstLine="0" w:firstLineChars="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b w:val="0"/>
                <w:bCs w:val="0"/>
                <w:color w:val="auto"/>
                <w:sz w:val="21"/>
                <w:szCs w:val="21"/>
                <w:highlight w:val="none"/>
                <w:shd w:val="clear" w:color="auto" w:fill="auto"/>
                <w:lang w:val="en-US" w:eastAsia="zh-CN"/>
              </w:rPr>
              <w:t>171</w:t>
            </w:r>
          </w:p>
        </w:tc>
        <w:tc>
          <w:tcPr>
            <w:tcW w:w="483"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7FA22590">
            <w:pPr>
              <w:spacing w:line="30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按计划</w:t>
            </w:r>
          </w:p>
        </w:tc>
        <w:tc>
          <w:tcPr>
            <w:tcW w:w="795" w:type="dxa"/>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478B0791">
            <w:pPr>
              <w:widowControl/>
              <w:tabs>
                <w:tab w:val="center" w:pos="365"/>
                <w:tab w:val="left" w:pos="526"/>
              </w:tabs>
              <w:spacing w:line="300" w:lineRule="exact"/>
              <w:ind w:left="0" w:leftChars="0" w:firstLine="0" w:firstLineChars="0"/>
              <w:jc w:val="center"/>
              <w:textAlignment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套</w:t>
            </w:r>
          </w:p>
        </w:tc>
        <w:tc>
          <w:tcPr>
            <w:tcW w:w="607"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771CF0A8">
            <w:pPr>
              <w:spacing w:line="30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据实结算</w:t>
            </w:r>
          </w:p>
        </w:tc>
        <w:tc>
          <w:tcPr>
            <w:tcW w:w="906"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276A5AB1">
            <w:pPr>
              <w:spacing w:line="30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详见《3.2.技术要求》</w:t>
            </w:r>
          </w:p>
        </w:tc>
      </w:tr>
      <w:tr w14:paraId="0202F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 w:hRule="atLeast"/>
          <w:jc w:val="center"/>
        </w:trPr>
        <w:tc>
          <w:tcPr>
            <w:tcW w:w="360"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1DA102DE">
            <w:pPr>
              <w:spacing w:line="300" w:lineRule="exact"/>
              <w:ind w:firstLine="0" w:firstLineChars="0"/>
              <w:jc w:val="center"/>
              <w:rPr>
                <w:rFonts w:hint="default"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w:t>
            </w:r>
          </w:p>
        </w:tc>
        <w:tc>
          <w:tcPr>
            <w:tcW w:w="43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515D8EE8">
            <w:pPr>
              <w:keepNext w:val="0"/>
              <w:keepLines w:val="0"/>
              <w:widowControl/>
              <w:suppressLineNumbers w:val="0"/>
              <w:spacing w:line="300" w:lineRule="exact"/>
              <w:ind w:firstLine="0" w:firstLineChars="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w:t>
            </w:r>
          </w:p>
        </w:tc>
        <w:tc>
          <w:tcPr>
            <w:tcW w:w="102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00774909">
            <w:pPr>
              <w:spacing w:line="300" w:lineRule="exact"/>
              <w:ind w:firstLine="0" w:firstLineChars="0"/>
              <w:jc w:val="center"/>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一次性使用灌注针</w:t>
            </w:r>
          </w:p>
        </w:tc>
        <w:tc>
          <w:tcPr>
            <w:tcW w:w="1210" w:type="dxa"/>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01994E21">
            <w:pPr>
              <w:widowControl/>
              <w:tabs>
                <w:tab w:val="center" w:pos="365"/>
                <w:tab w:val="left" w:pos="526"/>
              </w:tabs>
              <w:spacing w:line="300" w:lineRule="exact"/>
              <w:ind w:firstLine="0" w:firstLineChars="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b w:val="0"/>
                <w:bCs w:val="0"/>
                <w:color w:val="auto"/>
                <w:sz w:val="21"/>
                <w:szCs w:val="21"/>
                <w:highlight w:val="none"/>
                <w:shd w:val="clear" w:color="auto" w:fill="auto"/>
                <w:lang w:val="en-US" w:eastAsia="zh-CN"/>
              </w:rPr>
              <w:t>95</w:t>
            </w:r>
          </w:p>
        </w:tc>
        <w:tc>
          <w:tcPr>
            <w:tcW w:w="483"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1FF1FBBD">
            <w:pPr>
              <w:spacing w:line="30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按计划</w:t>
            </w:r>
          </w:p>
        </w:tc>
        <w:tc>
          <w:tcPr>
            <w:tcW w:w="795" w:type="dxa"/>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5CAA01E3">
            <w:pPr>
              <w:widowControl/>
              <w:tabs>
                <w:tab w:val="center" w:pos="365"/>
                <w:tab w:val="left" w:pos="526"/>
              </w:tabs>
              <w:spacing w:line="300" w:lineRule="exact"/>
              <w:ind w:left="0" w:leftChars="0" w:firstLine="0" w:firstLineChars="0"/>
              <w:jc w:val="center"/>
              <w:textAlignment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套</w:t>
            </w:r>
          </w:p>
        </w:tc>
        <w:tc>
          <w:tcPr>
            <w:tcW w:w="607"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077CA9D8">
            <w:pPr>
              <w:spacing w:line="30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据实结算</w:t>
            </w:r>
          </w:p>
        </w:tc>
        <w:tc>
          <w:tcPr>
            <w:tcW w:w="906"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12766A33">
            <w:pPr>
              <w:spacing w:line="30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详见《3.2.技术要求》</w:t>
            </w:r>
          </w:p>
        </w:tc>
      </w:tr>
    </w:tbl>
    <w:p w14:paraId="7FC37371">
      <w:pPr>
        <w:spacing w:line="460" w:lineRule="atLeast"/>
        <w:ind w:firstLine="480"/>
        <w:jc w:val="both"/>
        <w:rPr>
          <w:rFonts w:hint="default" w:ascii="仿宋" w:hAnsi="仿宋" w:eastAsia="仿宋" w:cs="仿宋"/>
          <w:sz w:val="24"/>
          <w:szCs w:val="24"/>
          <w:lang w:val="en-US" w:eastAsia="zh-Hans" w:bidi="ar-SA"/>
        </w:rPr>
      </w:pPr>
      <w:r>
        <w:rPr>
          <w:rFonts w:hint="eastAsia" w:ascii="仿宋" w:hAnsi="仿宋" w:eastAsia="仿宋" w:cs="仿宋"/>
          <w:sz w:val="24"/>
          <w:szCs w:val="24"/>
          <w:lang w:val="en-US" w:eastAsia="zh-Hans" w:bidi="ar-SA"/>
        </w:rPr>
        <w:t>★注：</w:t>
      </w:r>
      <w:r>
        <w:rPr>
          <w:rFonts w:hint="eastAsia" w:ascii="仿宋" w:hAnsi="仿宋" w:eastAsia="仿宋" w:cs="仿宋"/>
          <w:sz w:val="24"/>
          <w:szCs w:val="24"/>
          <w:lang w:val="en-US" w:eastAsia="zh-CN" w:bidi="ar-SA"/>
        </w:rPr>
        <w:t>竞选人</w:t>
      </w:r>
      <w:r>
        <w:rPr>
          <w:rFonts w:hint="eastAsia" w:ascii="仿宋" w:hAnsi="仿宋" w:eastAsia="仿宋" w:cs="仿宋"/>
          <w:sz w:val="24"/>
          <w:szCs w:val="24"/>
          <w:lang w:val="en-US" w:eastAsia="zh-Hans" w:bidi="ar-SA"/>
        </w:rPr>
        <w:t>响应产品应当明确品牌和规格型号并指向唯一产品，不能指向唯一产品的，应通过报价表唯一产品说明栏补充说明。</w:t>
      </w:r>
    </w:p>
    <w:p w14:paraId="6BA28600">
      <w:pPr>
        <w:spacing w:line="460" w:lineRule="atLeast"/>
        <w:jc w:val="both"/>
        <w:outlineLvl w:val="1"/>
        <w:rPr>
          <w:rFonts w:hint="default" w:ascii="仿宋" w:hAnsi="仿宋" w:eastAsia="仿宋" w:cs="仿宋"/>
          <w:sz w:val="24"/>
          <w:szCs w:val="24"/>
          <w:lang w:val="en-US" w:eastAsia="zh-CN" w:bidi="ar-SA"/>
        </w:rPr>
      </w:pPr>
      <w:r>
        <w:rPr>
          <w:rFonts w:hint="eastAsia" w:ascii="仿宋" w:hAnsi="仿宋" w:eastAsia="仿宋" w:cs="仿宋"/>
          <w:b/>
          <w:sz w:val="24"/>
          <w:szCs w:val="24"/>
          <w:lang w:val="en-US" w:eastAsia="zh-Hans" w:bidi="ar-SA"/>
        </w:rPr>
        <w:t>3.2.技术要求</w:t>
      </w:r>
    </w:p>
    <w:p w14:paraId="2F88E044">
      <w:pPr>
        <w:spacing w:line="460" w:lineRule="atLeast"/>
        <w:jc w:val="both"/>
        <w:outlineLvl w:val="2"/>
        <w:rPr>
          <w:rFonts w:hint="default" w:ascii="仿宋" w:hAnsi="仿宋" w:eastAsia="仿宋" w:cs="仿宋"/>
          <w:b/>
          <w:bCs/>
          <w:sz w:val="24"/>
          <w:szCs w:val="24"/>
          <w:lang w:val="en-US" w:eastAsia="zh-Hans" w:bidi="ar-SA"/>
        </w:rPr>
      </w:pPr>
      <w:r>
        <w:rPr>
          <w:rFonts w:hint="eastAsia" w:ascii="仿宋" w:hAnsi="仿宋" w:eastAsia="仿宋" w:cs="仿宋"/>
          <w:b/>
          <w:bCs/>
          <w:sz w:val="24"/>
          <w:szCs w:val="24"/>
          <w:lang w:val="en-US" w:eastAsia="zh-Hans" w:bidi="ar-SA"/>
        </w:rPr>
        <w:t>采购包1：</w:t>
      </w:r>
    </w:p>
    <w:p w14:paraId="0D8C9BEF">
      <w:pPr>
        <w:spacing w:line="460" w:lineRule="atLeast"/>
        <w:ind w:firstLine="0" w:firstLineChars="0"/>
        <w:outlineLvl w:val="1"/>
        <w:rPr>
          <w:rFonts w:ascii="仿宋" w:hAnsi="仿宋" w:eastAsia="仿宋" w:cs="仿宋"/>
          <w:b/>
          <w:sz w:val="24"/>
        </w:rPr>
      </w:pPr>
      <w:r>
        <w:rPr>
          <w:rFonts w:hint="eastAsia" w:ascii="仿宋" w:hAnsi="仿宋" w:eastAsia="仿宋" w:cs="仿宋"/>
          <w:b/>
          <w:sz w:val="24"/>
        </w:rPr>
        <w:t>3.2.1服务内容及要求</w:t>
      </w:r>
    </w:p>
    <w:tbl>
      <w:tblPr>
        <w:tblStyle w:val="5"/>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599"/>
        <w:gridCol w:w="1731"/>
        <w:gridCol w:w="2551"/>
        <w:gridCol w:w="2155"/>
      </w:tblGrid>
      <w:tr w14:paraId="21DED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0D4E617B">
            <w:pPr>
              <w:numPr>
                <w:ilvl w:val="0"/>
                <w:numId w:val="0"/>
              </w:numPr>
              <w:spacing w:line="300" w:lineRule="exact"/>
              <w:ind w:firstLine="0" w:firstLineChars="0"/>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编号</w:t>
            </w:r>
          </w:p>
        </w:tc>
        <w:tc>
          <w:tcPr>
            <w:tcW w:w="1599" w:type="dxa"/>
            <w:noWrap w:val="0"/>
            <w:vAlign w:val="center"/>
          </w:tcPr>
          <w:p w14:paraId="1DEC5B78">
            <w:pPr>
              <w:numPr>
                <w:ilvl w:val="0"/>
                <w:numId w:val="0"/>
              </w:numPr>
              <w:spacing w:line="300" w:lineRule="exact"/>
              <w:ind w:firstLine="0" w:firstLineChars="0"/>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标的名称</w:t>
            </w:r>
          </w:p>
        </w:tc>
        <w:tc>
          <w:tcPr>
            <w:tcW w:w="1731" w:type="dxa"/>
            <w:noWrap w:val="0"/>
            <w:vAlign w:val="center"/>
          </w:tcPr>
          <w:p w14:paraId="3188A2B8">
            <w:pPr>
              <w:numPr>
                <w:ilvl w:val="0"/>
                <w:numId w:val="0"/>
              </w:numPr>
              <w:spacing w:line="300" w:lineRule="exact"/>
              <w:ind w:firstLine="0" w:firstLineChars="0"/>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★医保耗材代码</w:t>
            </w:r>
          </w:p>
        </w:tc>
        <w:tc>
          <w:tcPr>
            <w:tcW w:w="2551" w:type="dxa"/>
            <w:noWrap w:val="0"/>
            <w:vAlign w:val="center"/>
          </w:tcPr>
          <w:p w14:paraId="3E3CAA6C">
            <w:pPr>
              <w:numPr>
                <w:ilvl w:val="0"/>
                <w:numId w:val="0"/>
              </w:numPr>
              <w:spacing w:line="300" w:lineRule="exact"/>
              <w:ind w:firstLine="0" w:firstLineChars="0"/>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★预期用途/适应症</w:t>
            </w:r>
          </w:p>
        </w:tc>
        <w:tc>
          <w:tcPr>
            <w:tcW w:w="2155" w:type="dxa"/>
            <w:noWrap w:val="0"/>
            <w:vAlign w:val="center"/>
          </w:tcPr>
          <w:p w14:paraId="7F65934B">
            <w:pPr>
              <w:numPr>
                <w:ilvl w:val="0"/>
                <w:numId w:val="0"/>
              </w:numPr>
              <w:spacing w:line="300" w:lineRule="exact"/>
              <w:ind w:firstLine="0" w:firstLineChars="0"/>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预期使用的规格型号及配置等情况</w:t>
            </w:r>
          </w:p>
        </w:tc>
      </w:tr>
      <w:tr w14:paraId="24561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2BB6927E">
            <w:pPr>
              <w:keepNext w:val="0"/>
              <w:keepLines w:val="0"/>
              <w:widowControl/>
              <w:suppressLineNumbers w:val="0"/>
              <w:spacing w:line="30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1599" w:type="dxa"/>
            <w:noWrap w:val="0"/>
            <w:vAlign w:val="center"/>
          </w:tcPr>
          <w:p w14:paraId="46B07035">
            <w:pPr>
              <w:keepNext w:val="0"/>
              <w:keepLines w:val="0"/>
              <w:widowControl/>
              <w:suppressLineNumbers w:val="0"/>
              <w:spacing w:line="30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一次性体外循环用配套血管路</w:t>
            </w:r>
          </w:p>
        </w:tc>
        <w:tc>
          <w:tcPr>
            <w:tcW w:w="1731" w:type="dxa"/>
            <w:noWrap w:val="0"/>
            <w:vAlign w:val="center"/>
          </w:tcPr>
          <w:p w14:paraId="06AF2140">
            <w:pPr>
              <w:keepNext w:val="0"/>
              <w:keepLines w:val="0"/>
              <w:widowControl/>
              <w:suppressLineNumbers w:val="0"/>
              <w:spacing w:line="30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C090301010</w:t>
            </w:r>
          </w:p>
        </w:tc>
        <w:tc>
          <w:tcPr>
            <w:tcW w:w="2551" w:type="dxa"/>
            <w:noWrap w:val="0"/>
            <w:vAlign w:val="center"/>
          </w:tcPr>
          <w:p w14:paraId="1F05AA2E">
            <w:pPr>
              <w:keepNext w:val="0"/>
              <w:keepLines w:val="0"/>
              <w:widowControl/>
              <w:suppressLineNumbers w:val="0"/>
              <w:spacing w:line="300" w:lineRule="exact"/>
              <w:ind w:firstLine="0" w:firstLineChars="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外体外循环条件下，用于心脏直视手术时作为体外循环血液的通道。</w:t>
            </w:r>
          </w:p>
        </w:tc>
        <w:tc>
          <w:tcPr>
            <w:tcW w:w="2155" w:type="dxa"/>
            <w:noWrap w:val="0"/>
            <w:vAlign w:val="center"/>
          </w:tcPr>
          <w:p w14:paraId="1BE5C857">
            <w:pPr>
              <w:keepNext w:val="0"/>
              <w:keepLines w:val="0"/>
              <w:widowControl/>
              <w:suppressLineNumbers w:val="0"/>
              <w:spacing w:line="300" w:lineRule="exact"/>
              <w:ind w:firstLine="0" w:firstLineChars="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儿童型及成人型</w:t>
            </w:r>
          </w:p>
        </w:tc>
      </w:tr>
      <w:tr w14:paraId="006C6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4F3FEE63">
            <w:pPr>
              <w:keepNext w:val="0"/>
              <w:keepLines w:val="0"/>
              <w:widowControl/>
              <w:suppressLineNumbers w:val="0"/>
              <w:spacing w:line="300" w:lineRule="exact"/>
              <w:ind w:firstLine="0" w:firstLineChars="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1599" w:type="dxa"/>
            <w:noWrap w:val="0"/>
            <w:vAlign w:val="center"/>
          </w:tcPr>
          <w:p w14:paraId="15DC0F22">
            <w:pPr>
              <w:keepNext w:val="0"/>
              <w:keepLines w:val="0"/>
              <w:widowControl/>
              <w:suppressLineNumbers w:val="0"/>
              <w:spacing w:line="30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一次性使用体外循环配套静脉插管</w:t>
            </w:r>
          </w:p>
        </w:tc>
        <w:tc>
          <w:tcPr>
            <w:tcW w:w="1731" w:type="dxa"/>
            <w:noWrap w:val="0"/>
            <w:vAlign w:val="center"/>
          </w:tcPr>
          <w:p w14:paraId="34509F62">
            <w:pPr>
              <w:keepNext w:val="0"/>
              <w:keepLines w:val="0"/>
              <w:widowControl/>
              <w:suppressLineNumbers w:val="0"/>
              <w:spacing w:line="30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C090102035</w:t>
            </w:r>
          </w:p>
        </w:tc>
        <w:tc>
          <w:tcPr>
            <w:tcW w:w="2551" w:type="dxa"/>
            <w:noWrap w:val="0"/>
            <w:vAlign w:val="center"/>
          </w:tcPr>
          <w:p w14:paraId="60593A86">
            <w:pPr>
              <w:keepNext w:val="0"/>
              <w:keepLines w:val="0"/>
              <w:widowControl/>
              <w:suppressLineNumbers w:val="0"/>
              <w:spacing w:line="300" w:lineRule="exact"/>
              <w:ind w:firstLine="0" w:firstLineChars="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用于再体外循环施行心脏直视手术时引出血液。</w:t>
            </w:r>
          </w:p>
        </w:tc>
        <w:tc>
          <w:tcPr>
            <w:tcW w:w="2155" w:type="dxa"/>
            <w:noWrap w:val="0"/>
            <w:vAlign w:val="center"/>
          </w:tcPr>
          <w:p w14:paraId="6E8D4AF7">
            <w:pPr>
              <w:keepNext w:val="0"/>
              <w:keepLines w:val="0"/>
              <w:widowControl/>
              <w:suppressLineNumbers w:val="0"/>
              <w:spacing w:line="300" w:lineRule="exact"/>
              <w:ind w:firstLine="0" w:firstLineChars="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L型10Fr-40Fr</w:t>
            </w:r>
          </w:p>
        </w:tc>
      </w:tr>
      <w:tr w14:paraId="369C3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6FF94FC1">
            <w:pPr>
              <w:keepNext w:val="0"/>
              <w:keepLines w:val="0"/>
              <w:widowControl/>
              <w:suppressLineNumbers w:val="0"/>
              <w:spacing w:line="300" w:lineRule="exact"/>
              <w:ind w:firstLine="0" w:firstLineChars="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p>
        </w:tc>
        <w:tc>
          <w:tcPr>
            <w:tcW w:w="1599" w:type="dxa"/>
            <w:noWrap w:val="0"/>
            <w:vAlign w:val="center"/>
          </w:tcPr>
          <w:p w14:paraId="52DE6ADA">
            <w:pPr>
              <w:keepNext w:val="0"/>
              <w:keepLines w:val="0"/>
              <w:widowControl/>
              <w:suppressLineNumbers w:val="0"/>
              <w:spacing w:line="30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一次性使用体外循环配套静脉插管</w:t>
            </w:r>
          </w:p>
        </w:tc>
        <w:tc>
          <w:tcPr>
            <w:tcW w:w="1731" w:type="dxa"/>
            <w:noWrap w:val="0"/>
            <w:vAlign w:val="center"/>
          </w:tcPr>
          <w:p w14:paraId="134A2162">
            <w:pPr>
              <w:keepNext w:val="0"/>
              <w:keepLines w:val="0"/>
              <w:widowControl/>
              <w:suppressLineNumbers w:val="0"/>
              <w:spacing w:line="30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C090102035</w:t>
            </w:r>
          </w:p>
        </w:tc>
        <w:tc>
          <w:tcPr>
            <w:tcW w:w="2551" w:type="dxa"/>
            <w:noWrap w:val="0"/>
            <w:vAlign w:val="center"/>
          </w:tcPr>
          <w:p w14:paraId="644E0E3E">
            <w:pPr>
              <w:keepNext w:val="0"/>
              <w:keepLines w:val="0"/>
              <w:widowControl/>
              <w:suppressLineNumbers w:val="0"/>
              <w:spacing w:line="300" w:lineRule="exact"/>
              <w:ind w:firstLine="0" w:firstLineChars="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用于体外循环心内直视手术，作体外循环血液引流用。</w:t>
            </w:r>
          </w:p>
        </w:tc>
        <w:tc>
          <w:tcPr>
            <w:tcW w:w="2155" w:type="dxa"/>
            <w:noWrap w:val="0"/>
            <w:vAlign w:val="center"/>
          </w:tcPr>
          <w:p w14:paraId="6C5C3FE7">
            <w:pPr>
              <w:keepNext w:val="0"/>
              <w:keepLines w:val="0"/>
              <w:widowControl/>
              <w:suppressLineNumbers w:val="0"/>
              <w:spacing w:line="300" w:lineRule="exact"/>
              <w:ind w:firstLine="0" w:firstLineChars="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直型塑料头及静脉腔房管；</w:t>
            </w:r>
          </w:p>
        </w:tc>
      </w:tr>
      <w:tr w14:paraId="61A57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5450216A">
            <w:pPr>
              <w:keepNext w:val="0"/>
              <w:keepLines w:val="0"/>
              <w:widowControl/>
              <w:suppressLineNumbers w:val="0"/>
              <w:spacing w:line="300" w:lineRule="exact"/>
              <w:ind w:firstLine="0" w:firstLineChars="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w:t>
            </w:r>
          </w:p>
        </w:tc>
        <w:tc>
          <w:tcPr>
            <w:tcW w:w="1599" w:type="dxa"/>
            <w:noWrap w:val="0"/>
            <w:vAlign w:val="center"/>
          </w:tcPr>
          <w:p w14:paraId="05047CC2">
            <w:pPr>
              <w:keepNext w:val="0"/>
              <w:keepLines w:val="0"/>
              <w:widowControl/>
              <w:suppressLineNumbers w:val="0"/>
              <w:spacing w:line="30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一次性使用心机保护液灌注装置</w:t>
            </w:r>
          </w:p>
        </w:tc>
        <w:tc>
          <w:tcPr>
            <w:tcW w:w="1731" w:type="dxa"/>
            <w:noWrap w:val="0"/>
            <w:vAlign w:val="center"/>
          </w:tcPr>
          <w:p w14:paraId="428DE926">
            <w:pPr>
              <w:keepNext w:val="0"/>
              <w:keepLines w:val="0"/>
              <w:widowControl/>
              <w:suppressLineNumbers w:val="0"/>
              <w:spacing w:line="30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C090106034</w:t>
            </w:r>
          </w:p>
        </w:tc>
        <w:tc>
          <w:tcPr>
            <w:tcW w:w="2551" w:type="dxa"/>
            <w:noWrap w:val="0"/>
            <w:vAlign w:val="center"/>
          </w:tcPr>
          <w:p w14:paraId="1032907C">
            <w:pPr>
              <w:keepNext w:val="0"/>
              <w:keepLines w:val="0"/>
              <w:widowControl/>
              <w:suppressLineNumbers w:val="0"/>
              <w:spacing w:line="300" w:lineRule="exact"/>
              <w:ind w:firstLine="0" w:firstLineChars="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适用于再体外循环直视手术中心脏停跳液灌注。须可配合变温水箱使用。</w:t>
            </w:r>
          </w:p>
        </w:tc>
        <w:tc>
          <w:tcPr>
            <w:tcW w:w="2155" w:type="dxa"/>
            <w:noWrap w:val="0"/>
            <w:vAlign w:val="center"/>
          </w:tcPr>
          <w:p w14:paraId="70BE764E">
            <w:pPr>
              <w:keepNext w:val="0"/>
              <w:keepLines w:val="0"/>
              <w:widowControl/>
              <w:suppressLineNumbers w:val="0"/>
              <w:spacing w:line="300" w:lineRule="exact"/>
              <w:ind w:firstLine="0" w:firstLineChars="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由泵管、变温器、连接管、接头、气泡捕捉器组成；停跳液最大流量：800mL/min，热交换面积：0.15（㎡）；预充量：≤30mL;热交换系数：≥0.9（500mL/min）；热交换血路压力降：≤8mmHg(500mL/min);</w:t>
            </w:r>
          </w:p>
        </w:tc>
      </w:tr>
      <w:tr w14:paraId="33CB6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5C4559B6">
            <w:pPr>
              <w:keepNext w:val="0"/>
              <w:keepLines w:val="0"/>
              <w:widowControl/>
              <w:suppressLineNumbers w:val="0"/>
              <w:spacing w:line="300" w:lineRule="exact"/>
              <w:ind w:firstLine="0" w:firstLineChars="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w:t>
            </w:r>
          </w:p>
        </w:tc>
        <w:tc>
          <w:tcPr>
            <w:tcW w:w="1599" w:type="dxa"/>
            <w:noWrap w:val="0"/>
            <w:vAlign w:val="center"/>
          </w:tcPr>
          <w:p w14:paraId="5D773AA8">
            <w:pPr>
              <w:keepNext w:val="0"/>
              <w:keepLines w:val="0"/>
              <w:widowControl/>
              <w:suppressLineNumbers w:val="0"/>
              <w:spacing w:line="30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一次性使用动脉微栓过滤器</w:t>
            </w:r>
          </w:p>
        </w:tc>
        <w:tc>
          <w:tcPr>
            <w:tcW w:w="1731" w:type="dxa"/>
            <w:noWrap w:val="0"/>
            <w:vAlign w:val="center"/>
          </w:tcPr>
          <w:p w14:paraId="0629797B">
            <w:pPr>
              <w:keepNext w:val="0"/>
              <w:keepLines w:val="0"/>
              <w:widowControl/>
              <w:suppressLineNumbers w:val="0"/>
              <w:spacing w:line="30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C090201159</w:t>
            </w:r>
          </w:p>
        </w:tc>
        <w:tc>
          <w:tcPr>
            <w:tcW w:w="2551" w:type="dxa"/>
            <w:noWrap w:val="0"/>
            <w:vAlign w:val="center"/>
          </w:tcPr>
          <w:p w14:paraId="4AB9E58D">
            <w:pPr>
              <w:keepNext w:val="0"/>
              <w:keepLines w:val="0"/>
              <w:widowControl/>
              <w:suppressLineNumbers w:val="0"/>
              <w:spacing w:line="300" w:lineRule="exact"/>
              <w:ind w:firstLine="0" w:firstLineChars="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用于清除氧合后的血液微小栓子的过滤装置。</w:t>
            </w:r>
          </w:p>
        </w:tc>
        <w:tc>
          <w:tcPr>
            <w:tcW w:w="2155" w:type="dxa"/>
            <w:noWrap w:val="0"/>
            <w:vAlign w:val="center"/>
          </w:tcPr>
          <w:p w14:paraId="34F361B4">
            <w:pPr>
              <w:keepNext w:val="0"/>
              <w:keepLines w:val="0"/>
              <w:widowControl/>
              <w:suppressLineNumbers w:val="0"/>
              <w:spacing w:line="300" w:lineRule="exact"/>
              <w:ind w:firstLine="0" w:firstLineChars="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儿童型</w:t>
            </w:r>
          </w:p>
        </w:tc>
      </w:tr>
      <w:tr w14:paraId="23B04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5BBD934A">
            <w:pPr>
              <w:keepNext w:val="0"/>
              <w:keepLines w:val="0"/>
              <w:widowControl/>
              <w:suppressLineNumbers w:val="0"/>
              <w:spacing w:line="30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w:t>
            </w:r>
          </w:p>
        </w:tc>
        <w:tc>
          <w:tcPr>
            <w:tcW w:w="1599" w:type="dxa"/>
            <w:noWrap w:val="0"/>
            <w:vAlign w:val="center"/>
          </w:tcPr>
          <w:p w14:paraId="06B2114A">
            <w:pPr>
              <w:keepNext w:val="0"/>
              <w:keepLines w:val="0"/>
              <w:widowControl/>
              <w:suppressLineNumbers w:val="0"/>
              <w:spacing w:line="30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一次性使用左心吸引头</w:t>
            </w:r>
          </w:p>
        </w:tc>
        <w:tc>
          <w:tcPr>
            <w:tcW w:w="1731" w:type="dxa"/>
            <w:noWrap w:val="0"/>
            <w:vAlign w:val="center"/>
          </w:tcPr>
          <w:p w14:paraId="10BC3B70">
            <w:pPr>
              <w:keepNext w:val="0"/>
              <w:keepLines w:val="0"/>
              <w:widowControl/>
              <w:suppressLineNumbers w:val="0"/>
              <w:spacing w:line="30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C090107034</w:t>
            </w:r>
          </w:p>
        </w:tc>
        <w:tc>
          <w:tcPr>
            <w:tcW w:w="2551" w:type="dxa"/>
            <w:noWrap w:val="0"/>
            <w:vAlign w:val="center"/>
          </w:tcPr>
          <w:p w14:paraId="658302D8">
            <w:pPr>
              <w:keepNext w:val="0"/>
              <w:keepLines w:val="0"/>
              <w:widowControl/>
              <w:suppressLineNumbers w:val="0"/>
              <w:spacing w:line="300" w:lineRule="exact"/>
              <w:ind w:firstLine="0" w:firstLineChars="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体外循环手术中，心脏左心腔内进行减压或吸引心脏内的血液。</w:t>
            </w:r>
          </w:p>
        </w:tc>
        <w:tc>
          <w:tcPr>
            <w:tcW w:w="2155" w:type="dxa"/>
            <w:noWrap w:val="0"/>
            <w:vAlign w:val="center"/>
          </w:tcPr>
          <w:p w14:paraId="729E376B">
            <w:pPr>
              <w:keepNext w:val="0"/>
              <w:keepLines w:val="0"/>
              <w:widowControl/>
              <w:suppressLineNumbers w:val="0"/>
              <w:spacing w:line="300" w:lineRule="exact"/>
              <w:ind w:firstLine="0" w:firstLineChars="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请提供成人、儿童、婴儿等多种型号以供使用科室按需选择；</w:t>
            </w:r>
          </w:p>
        </w:tc>
      </w:tr>
      <w:tr w14:paraId="2E21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52E5F5DA">
            <w:pPr>
              <w:keepNext w:val="0"/>
              <w:keepLines w:val="0"/>
              <w:widowControl/>
              <w:suppressLineNumbers w:val="0"/>
              <w:spacing w:line="30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w:t>
            </w:r>
          </w:p>
        </w:tc>
        <w:tc>
          <w:tcPr>
            <w:tcW w:w="1599" w:type="dxa"/>
            <w:noWrap w:val="0"/>
            <w:vAlign w:val="center"/>
          </w:tcPr>
          <w:p w14:paraId="0F1E85D1">
            <w:pPr>
              <w:keepNext w:val="0"/>
              <w:keepLines w:val="0"/>
              <w:widowControl/>
              <w:suppressLineNumbers w:val="0"/>
              <w:spacing w:line="30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一次性使用灌注管</w:t>
            </w:r>
          </w:p>
        </w:tc>
        <w:tc>
          <w:tcPr>
            <w:tcW w:w="1731" w:type="dxa"/>
            <w:noWrap w:val="0"/>
            <w:vAlign w:val="center"/>
          </w:tcPr>
          <w:p w14:paraId="77E5B4D5">
            <w:pPr>
              <w:keepNext w:val="0"/>
              <w:keepLines w:val="0"/>
              <w:widowControl/>
              <w:suppressLineNumbers w:val="0"/>
              <w:spacing w:line="30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C090106034</w:t>
            </w:r>
          </w:p>
        </w:tc>
        <w:tc>
          <w:tcPr>
            <w:tcW w:w="2551" w:type="dxa"/>
            <w:noWrap w:val="0"/>
            <w:vAlign w:val="center"/>
          </w:tcPr>
          <w:p w14:paraId="45A9E26B">
            <w:pPr>
              <w:keepNext w:val="0"/>
              <w:keepLines w:val="0"/>
              <w:widowControl/>
              <w:suppressLineNumbers w:val="0"/>
              <w:spacing w:line="300" w:lineRule="exact"/>
              <w:ind w:firstLine="0" w:firstLineChars="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体外循环手术中进行心肌保护。</w:t>
            </w:r>
          </w:p>
        </w:tc>
        <w:tc>
          <w:tcPr>
            <w:tcW w:w="2155" w:type="dxa"/>
            <w:noWrap w:val="0"/>
            <w:vAlign w:val="center"/>
          </w:tcPr>
          <w:p w14:paraId="585E27CB">
            <w:pPr>
              <w:keepNext w:val="0"/>
              <w:keepLines w:val="0"/>
              <w:widowControl/>
              <w:suppressLineNumbers w:val="0"/>
              <w:spacing w:line="300" w:lineRule="exact"/>
              <w:ind w:firstLine="0" w:firstLineChars="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左冠135°，右冠90°，左冠管Fr10/12/14、右冠管Fr10/12/14；</w:t>
            </w:r>
          </w:p>
        </w:tc>
      </w:tr>
      <w:tr w14:paraId="50394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4CED2B97">
            <w:pPr>
              <w:keepNext w:val="0"/>
              <w:keepLines w:val="0"/>
              <w:widowControl/>
              <w:suppressLineNumbers w:val="0"/>
              <w:spacing w:line="30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w:t>
            </w:r>
          </w:p>
        </w:tc>
        <w:tc>
          <w:tcPr>
            <w:tcW w:w="1599" w:type="dxa"/>
            <w:noWrap w:val="0"/>
            <w:vAlign w:val="center"/>
          </w:tcPr>
          <w:p w14:paraId="7B56C2BE">
            <w:pPr>
              <w:keepNext w:val="0"/>
              <w:keepLines w:val="0"/>
              <w:widowControl/>
              <w:suppressLineNumbers w:val="0"/>
              <w:spacing w:line="30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一次性使用灌注针</w:t>
            </w:r>
          </w:p>
        </w:tc>
        <w:tc>
          <w:tcPr>
            <w:tcW w:w="1731" w:type="dxa"/>
            <w:noWrap w:val="0"/>
            <w:vAlign w:val="center"/>
          </w:tcPr>
          <w:p w14:paraId="06B95C99">
            <w:pPr>
              <w:keepNext w:val="0"/>
              <w:keepLines w:val="0"/>
              <w:widowControl/>
              <w:suppressLineNumbers w:val="0"/>
              <w:spacing w:line="30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C090106034</w:t>
            </w:r>
          </w:p>
        </w:tc>
        <w:tc>
          <w:tcPr>
            <w:tcW w:w="2551" w:type="dxa"/>
            <w:noWrap w:val="0"/>
            <w:vAlign w:val="center"/>
          </w:tcPr>
          <w:p w14:paraId="0C5331C5">
            <w:pPr>
              <w:keepNext w:val="0"/>
              <w:keepLines w:val="0"/>
              <w:widowControl/>
              <w:suppressLineNumbers w:val="0"/>
              <w:spacing w:line="300" w:lineRule="exact"/>
              <w:ind w:firstLine="0" w:firstLineChars="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体外循环手术中进行心肌保护。</w:t>
            </w:r>
          </w:p>
        </w:tc>
        <w:tc>
          <w:tcPr>
            <w:tcW w:w="2155" w:type="dxa"/>
            <w:noWrap w:val="0"/>
            <w:vAlign w:val="center"/>
          </w:tcPr>
          <w:p w14:paraId="1FFC0052">
            <w:pPr>
              <w:keepNext w:val="0"/>
              <w:keepLines w:val="0"/>
              <w:widowControl/>
              <w:suppressLineNumbers w:val="0"/>
              <w:spacing w:line="300" w:lineRule="exact"/>
              <w:ind w:firstLine="0" w:firstLineChars="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请提供Y型及直型两种规格，灌注针型号至少提供成人型及儿童型；</w:t>
            </w:r>
          </w:p>
        </w:tc>
      </w:tr>
    </w:tbl>
    <w:p w14:paraId="04820241">
      <w:pPr>
        <w:spacing w:line="480" w:lineRule="auto"/>
        <w:ind w:firstLine="0" w:firstLineChars="0"/>
        <w:outlineLvl w:val="1"/>
        <w:rPr>
          <w:rFonts w:ascii="仿宋" w:hAnsi="仿宋" w:eastAsia="仿宋" w:cs="仿宋"/>
          <w:b/>
          <w:bCs/>
          <w:color w:val="000000"/>
          <w:sz w:val="28"/>
          <w:szCs w:val="28"/>
        </w:rPr>
      </w:pPr>
      <w:r>
        <w:rPr>
          <w:rFonts w:hint="eastAsia" w:ascii="仿宋" w:hAnsi="仿宋" w:eastAsia="仿宋" w:cs="仿宋"/>
          <w:b/>
          <w:bCs/>
          <w:sz w:val="22"/>
          <w:szCs w:val="22"/>
        </w:rPr>
        <w:t>★</w:t>
      </w:r>
      <w:r>
        <w:rPr>
          <w:rFonts w:hint="eastAsia" w:ascii="仿宋" w:hAnsi="仿宋" w:eastAsia="仿宋" w:cs="仿宋"/>
          <w:b/>
          <w:sz w:val="28"/>
        </w:rPr>
        <w:t>3.2.2.项目采购要求</w:t>
      </w:r>
    </w:p>
    <w:p w14:paraId="14B30D58">
      <w:pPr>
        <w:spacing w:line="460" w:lineRule="exact"/>
        <w:ind w:firstLine="0" w:firstLineChars="0"/>
        <w:outlineLvl w:val="2"/>
        <w:rPr>
          <w:rFonts w:hint="eastAsia" w:ascii="仿宋" w:hAnsi="仿宋" w:eastAsia="仿宋" w:cs="仿宋"/>
          <w:b/>
          <w:sz w:val="24"/>
          <w:highlight w:val="yellow"/>
          <w:lang w:val="en-US" w:eastAsia="zh-CN"/>
        </w:rPr>
      </w:pPr>
      <w:r>
        <w:rPr>
          <w:rFonts w:hint="eastAsia" w:ascii="仿宋" w:hAnsi="仿宋" w:eastAsia="仿宋" w:cs="仿宋"/>
          <w:b/>
          <w:sz w:val="24"/>
        </w:rPr>
        <w:t>3.2.2.1</w:t>
      </w:r>
      <w:r>
        <w:rPr>
          <w:rFonts w:hint="eastAsia" w:ascii="仿宋" w:hAnsi="仿宋" w:eastAsia="仿宋" w:cs="仿宋"/>
          <w:b/>
          <w:sz w:val="24"/>
          <w:highlight w:val="yellow"/>
          <w:lang w:val="en-US" w:eastAsia="zh-CN"/>
        </w:rPr>
        <w:t>★挂网需求</w:t>
      </w:r>
    </w:p>
    <w:p w14:paraId="79720B14">
      <w:pPr>
        <w:spacing w:line="460" w:lineRule="exact"/>
        <w:ind w:firstLine="0" w:firstLineChars="0"/>
        <w:outlineLvl w:val="2"/>
        <w:rPr>
          <w:rFonts w:hint="eastAsia" w:ascii="仿宋" w:hAnsi="仿宋" w:eastAsia="仿宋" w:cs="仿宋"/>
          <w:b/>
          <w:sz w:val="24"/>
          <w:highlight w:val="yellow"/>
          <w:lang w:val="en-US" w:eastAsia="zh-CN"/>
        </w:rPr>
      </w:pPr>
      <w:r>
        <w:rPr>
          <w:rFonts w:hint="eastAsia" w:ascii="仿宋" w:hAnsi="仿宋" w:eastAsia="仿宋" w:cs="仿宋"/>
          <w:b/>
          <w:sz w:val="24"/>
          <w:highlight w:val="yellow"/>
          <w:lang w:val="en-US" w:eastAsia="zh-CN"/>
        </w:rPr>
        <w:t>1.本项目所有标的均须提供挂网产品。</w:t>
      </w:r>
    </w:p>
    <w:p w14:paraId="64496C71">
      <w:pPr>
        <w:spacing w:line="460" w:lineRule="exact"/>
        <w:ind w:firstLine="0" w:firstLineChars="0"/>
        <w:outlineLvl w:val="2"/>
        <w:rPr>
          <w:rFonts w:hint="eastAsia" w:ascii="仿宋" w:hAnsi="仿宋" w:eastAsia="仿宋" w:cs="仿宋"/>
          <w:b/>
          <w:sz w:val="24"/>
          <w:highlight w:val="yellow"/>
        </w:rPr>
      </w:pPr>
      <w:r>
        <w:rPr>
          <w:rFonts w:hint="eastAsia" w:ascii="仿宋" w:hAnsi="仿宋" w:eastAsia="仿宋" w:cs="仿宋"/>
          <w:b/>
          <w:sz w:val="24"/>
          <w:highlight w:val="yellow"/>
          <w:lang w:val="en-US" w:eastAsia="zh-CN"/>
        </w:rPr>
        <w:t>注：本项目中所指“挂网产品”，为“四川省药品和医用耗材招采管理系统”中已挂网产品（不含正在挂网和备案的产品）。</w:t>
      </w:r>
    </w:p>
    <w:p w14:paraId="0183F0B9">
      <w:pPr>
        <w:spacing w:line="460" w:lineRule="exact"/>
        <w:ind w:firstLine="0" w:firstLineChars="0"/>
        <w:outlineLvl w:val="2"/>
        <w:rPr>
          <w:rFonts w:hint="default" w:ascii="仿宋" w:hAnsi="仿宋" w:eastAsia="仿宋" w:cs="仿宋"/>
          <w:b/>
          <w:sz w:val="24"/>
          <w:lang w:val="en-US" w:eastAsia="zh-CN"/>
        </w:rPr>
      </w:pPr>
      <w:r>
        <w:rPr>
          <w:rFonts w:hint="eastAsia" w:ascii="仿宋" w:hAnsi="仿宋" w:eastAsia="仿宋" w:cs="仿宋"/>
          <w:b/>
          <w:sz w:val="24"/>
          <w:lang w:val="en-US" w:eastAsia="zh-CN"/>
        </w:rPr>
        <w:t>3.2.2.2★样品要求</w:t>
      </w:r>
    </w:p>
    <w:p w14:paraId="4DECC1BD">
      <w:pPr>
        <w:spacing w:line="460" w:lineRule="exact"/>
        <w:ind w:firstLine="482" w:firstLineChars="200"/>
        <w:rPr>
          <w:rFonts w:ascii="仿宋" w:hAnsi="仿宋" w:eastAsia="仿宋" w:cs="仿宋"/>
          <w:b/>
          <w:bCs/>
          <w:color w:val="000000"/>
          <w:kern w:val="0"/>
          <w:sz w:val="24"/>
          <w:highlight w:val="yellow"/>
          <w:lang w:bidi="ar"/>
        </w:rPr>
      </w:pPr>
      <w:r>
        <w:rPr>
          <w:rFonts w:hint="eastAsia" w:ascii="仿宋" w:hAnsi="仿宋" w:eastAsia="仿宋" w:cs="仿宋"/>
          <w:b/>
          <w:bCs/>
          <w:color w:val="000000"/>
          <w:kern w:val="0"/>
          <w:sz w:val="24"/>
          <w:lang w:bidi="ar"/>
        </w:rPr>
        <w:t>1.必须提供样品，以供评审专家现场评审。</w:t>
      </w:r>
      <w:r>
        <w:rPr>
          <w:rFonts w:hint="eastAsia" w:ascii="仿宋" w:hAnsi="仿宋" w:eastAsia="仿宋" w:cs="仿宋"/>
          <w:color w:val="000000"/>
          <w:kern w:val="0"/>
          <w:sz w:val="24"/>
          <w:highlight w:val="yellow"/>
          <w:lang w:bidi="zh-CN"/>
        </w:rPr>
        <w:t>（如响应的同一标的存在材质相同的多个型号，可提供其中一样作为样品）</w:t>
      </w:r>
    </w:p>
    <w:p w14:paraId="263708CE">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2.提交的样品不符合实际需求或存在原理错误则视为无效响应。</w:t>
      </w:r>
    </w:p>
    <w:p w14:paraId="0D695C67">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3.本项目竞选人提供的样品，应与该竞选人响应文件保持一致（具体参考《医疗器械说明书和标签管理规定》）。</w:t>
      </w:r>
    </w:p>
    <w:p w14:paraId="70A1D1BC">
      <w:pPr>
        <w:spacing w:line="460" w:lineRule="exact"/>
        <w:ind w:firstLine="442" w:firstLineChars="200"/>
        <w:textAlignment w:val="center"/>
        <w:rPr>
          <w:rFonts w:hint="eastAsia" w:ascii="仿宋" w:hAnsi="仿宋" w:eastAsia="仿宋" w:cs="仿宋"/>
          <w:b/>
          <w:bCs/>
          <w:color w:val="000000"/>
          <w:kern w:val="0"/>
          <w:sz w:val="24"/>
          <w:lang w:val="en-US" w:eastAsia="zh-CN" w:bidi="ar"/>
        </w:rPr>
      </w:pPr>
      <w:r>
        <w:rPr>
          <w:rFonts w:ascii="仿宋" w:hAnsi="仿宋" w:eastAsia="仿宋" w:cs="仿宋"/>
          <w:b/>
          <w:bCs/>
          <w:kern w:val="0"/>
          <w:sz w:val="22"/>
          <w:szCs w:val="22"/>
          <w:lang w:bidi="ar"/>
        </w:rPr>
        <w:t>注：</w:t>
      </w:r>
      <w:r>
        <w:rPr>
          <w:rFonts w:hint="eastAsia" w:ascii="仿宋" w:hAnsi="仿宋" w:eastAsia="仿宋" w:cs="仿宋"/>
          <w:b/>
          <w:bCs/>
          <w:kern w:val="0"/>
          <w:sz w:val="22"/>
          <w:szCs w:val="22"/>
          <w:lang w:val="en-US" w:eastAsia="zh-CN" w:bidi="ar"/>
        </w:rPr>
        <w:t>①</w:t>
      </w:r>
      <w:r>
        <w:rPr>
          <w:rFonts w:ascii="仿宋" w:hAnsi="仿宋" w:eastAsia="仿宋" w:cs="仿宋"/>
          <w:b/>
          <w:bCs/>
          <w:kern w:val="0"/>
          <w:sz w:val="22"/>
          <w:szCs w:val="22"/>
          <w:lang w:bidi="ar"/>
        </w:rPr>
        <w:t>样品包装需完整，样品评审时将由采购代理机构拍照留存，作为后期验收的依据。</w:t>
      </w:r>
      <w:r>
        <w:rPr>
          <w:rFonts w:hint="eastAsia" w:ascii="仿宋" w:hAnsi="仿宋" w:eastAsia="仿宋" w:cs="仿宋"/>
          <w:b/>
          <w:bCs/>
          <w:kern w:val="0"/>
          <w:sz w:val="22"/>
          <w:szCs w:val="22"/>
          <w:lang w:val="en-US" w:eastAsia="zh-CN" w:bidi="ar"/>
        </w:rPr>
        <w:t>②本项目请严格按照本需求提供样品，评审专家将现场根据样品进行实验评估，并根据评估结果进行评审打分。</w:t>
      </w:r>
    </w:p>
    <w:p w14:paraId="6FDD78AC">
      <w:pPr>
        <w:spacing w:line="460" w:lineRule="exact"/>
        <w:ind w:firstLine="0" w:firstLineChars="0"/>
        <w:outlineLvl w:val="2"/>
        <w:rPr>
          <w:rFonts w:hint="eastAsia" w:ascii="仿宋" w:hAnsi="仿宋" w:eastAsia="仿宋" w:cs="仿宋"/>
          <w:b/>
          <w:bCs/>
          <w:sz w:val="24"/>
          <w:lang w:eastAsia="zh-CN"/>
        </w:rPr>
      </w:pPr>
      <w:r>
        <w:rPr>
          <w:rFonts w:hint="eastAsia" w:ascii="仿宋" w:hAnsi="仿宋" w:eastAsia="仿宋" w:cs="仿宋"/>
          <w:b/>
          <w:bCs/>
          <w:sz w:val="24"/>
        </w:rPr>
        <w:t>★</w:t>
      </w:r>
      <w:r>
        <w:rPr>
          <w:rFonts w:hint="eastAsia" w:ascii="仿宋" w:hAnsi="仿宋" w:eastAsia="仿宋" w:cs="仿宋"/>
          <w:b/>
          <w:sz w:val="24"/>
        </w:rPr>
        <w:t>3.3、商务要求</w:t>
      </w:r>
      <w:r>
        <w:rPr>
          <w:rFonts w:hint="eastAsia" w:ascii="仿宋" w:hAnsi="仿宋" w:eastAsia="仿宋" w:cs="仿宋"/>
          <w:b/>
          <w:bCs/>
          <w:sz w:val="24"/>
        </w:rPr>
        <w:t>：</w:t>
      </w:r>
    </w:p>
    <w:p w14:paraId="018565A1">
      <w:pPr>
        <w:spacing w:line="460" w:lineRule="exact"/>
        <w:ind w:firstLine="420" w:firstLineChars="0"/>
        <w:rPr>
          <w:rFonts w:ascii="仿宋" w:hAnsi="仿宋" w:eastAsia="仿宋" w:cs="仿宋"/>
          <w:b/>
          <w:bCs/>
          <w:sz w:val="24"/>
          <w:lang w:eastAsia="zh-Hans"/>
        </w:rPr>
      </w:pPr>
      <w:r>
        <w:rPr>
          <w:rFonts w:hint="eastAsia" w:ascii="仿宋" w:hAnsi="仿宋" w:eastAsia="仿宋" w:cs="仿宋"/>
          <w:b/>
          <w:bCs/>
          <w:sz w:val="24"/>
        </w:rPr>
        <w:t>1.</w:t>
      </w:r>
      <w:r>
        <w:rPr>
          <w:rFonts w:hint="eastAsia" w:ascii="仿宋" w:hAnsi="仿宋" w:eastAsia="仿宋" w:cs="仿宋"/>
          <w:b/>
          <w:bCs/>
          <w:sz w:val="24"/>
          <w:lang w:val="en-US" w:eastAsia="zh-Hans"/>
        </w:rPr>
        <w:t>服务期限</w:t>
      </w:r>
    </w:p>
    <w:p w14:paraId="0CB0E381">
      <w:pPr>
        <w:numPr>
          <w:ilvl w:val="255"/>
          <w:numId w:val="0"/>
        </w:numPr>
        <w:spacing w:line="460" w:lineRule="exact"/>
        <w:ind w:firstLine="480" w:firstLineChars="200"/>
        <w:rPr>
          <w:rFonts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每次配送时间必须严格按照采购人配送通知执行，</w:t>
      </w:r>
      <w:r>
        <w:rPr>
          <w:rFonts w:hint="eastAsia" w:ascii="仿宋" w:hAnsi="仿宋" w:eastAsia="仿宋" w:cs="仿宋"/>
          <w:color w:val="000000"/>
          <w:kern w:val="0"/>
          <w:sz w:val="24"/>
          <w:highlight w:val="none"/>
          <w:lang w:bidi="ar"/>
        </w:rPr>
        <w:t>成交供应商</w:t>
      </w:r>
      <w:r>
        <w:rPr>
          <w:rFonts w:hint="eastAsia" w:ascii="仿宋" w:hAnsi="仿宋" w:eastAsia="仿宋" w:cs="仿宋"/>
          <w:color w:val="000000"/>
          <w:kern w:val="0"/>
          <w:sz w:val="24"/>
          <w:lang w:val="en-US" w:eastAsia="zh-CN" w:bidi="ar"/>
        </w:rPr>
        <w:t>应于收到通知后2小时内响应。急用产品的配送时间不应超过4小时，一般产品原则上的配送时间不应超过2个工作日。</w:t>
      </w:r>
    </w:p>
    <w:p w14:paraId="329AE26D">
      <w:pPr>
        <w:spacing w:line="460" w:lineRule="exact"/>
        <w:ind w:firstLine="420" w:firstLineChars="0"/>
        <w:textAlignment w:val="auto"/>
        <w:rPr>
          <w:rFonts w:ascii="仿宋" w:hAnsi="仿宋" w:eastAsia="仿宋" w:cs="仿宋"/>
          <w:color w:val="000000"/>
          <w:kern w:val="0"/>
          <w:sz w:val="24"/>
          <w:lang w:bidi="ar"/>
        </w:rPr>
      </w:pPr>
      <w:r>
        <w:rPr>
          <w:rFonts w:hint="eastAsia" w:ascii="仿宋" w:hAnsi="仿宋" w:eastAsia="仿宋" w:cs="仿宋"/>
          <w:b/>
          <w:bCs/>
          <w:sz w:val="24"/>
          <w:lang w:val="en-US" w:eastAsia="zh-CN"/>
        </w:rPr>
        <w:t>2.服务地点</w:t>
      </w:r>
      <w:r>
        <w:rPr>
          <w:rFonts w:hint="eastAsia" w:ascii="仿宋" w:hAnsi="仿宋" w:eastAsia="仿宋" w:cs="仿宋"/>
          <w:b/>
          <w:bCs/>
          <w:sz w:val="24"/>
          <w:lang w:eastAsia="zh-CN"/>
        </w:rPr>
        <w:t>：</w:t>
      </w:r>
      <w:r>
        <w:rPr>
          <w:rFonts w:hint="eastAsia" w:ascii="仿宋" w:hAnsi="仿宋" w:eastAsia="仿宋" w:cs="仿宋"/>
          <w:color w:val="000000"/>
          <w:kern w:val="0"/>
          <w:sz w:val="24"/>
          <w:lang w:bidi="ar"/>
        </w:rPr>
        <w:t>内江市第一人民医院院内。</w:t>
      </w:r>
    </w:p>
    <w:p w14:paraId="084B8FF6">
      <w:pPr>
        <w:spacing w:line="460" w:lineRule="exact"/>
        <w:ind w:firstLine="420" w:firstLineChars="0"/>
        <w:rPr>
          <w:rFonts w:ascii="仿宋" w:hAnsi="仿宋" w:eastAsia="仿宋" w:cs="仿宋"/>
          <w:b/>
          <w:bCs/>
          <w:sz w:val="24"/>
          <w:lang w:eastAsia="zh-Hans"/>
        </w:rPr>
      </w:pPr>
      <w:r>
        <w:rPr>
          <w:rFonts w:hint="eastAsia" w:ascii="仿宋" w:hAnsi="仿宋" w:eastAsia="仿宋" w:cs="仿宋"/>
          <w:b/>
          <w:bCs/>
          <w:sz w:val="24"/>
          <w:lang w:val="en-US" w:eastAsia="zh-CN"/>
        </w:rPr>
        <w:t>3</w:t>
      </w:r>
      <w:r>
        <w:rPr>
          <w:rFonts w:hint="eastAsia" w:ascii="仿宋" w:hAnsi="仿宋" w:eastAsia="仿宋" w:cs="仿宋"/>
          <w:b/>
          <w:bCs/>
          <w:sz w:val="24"/>
        </w:rPr>
        <w:t>.</w:t>
      </w:r>
      <w:r>
        <w:rPr>
          <w:rFonts w:hint="eastAsia" w:ascii="仿宋" w:hAnsi="仿宋" w:eastAsia="仿宋" w:cs="仿宋"/>
          <w:b/>
          <w:bCs/>
          <w:sz w:val="24"/>
          <w:lang w:eastAsia="zh-Hans"/>
        </w:rPr>
        <w:t>付款方式和条件</w:t>
      </w:r>
    </w:p>
    <w:p w14:paraId="03AE5A3E">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（1）结算方式：双方同意以采购人财务制度规定的付款时间及付款要求进行结算，竞选人已完全了解并清楚采购人的财务制度，竞选人对采购人财务制度规定的付款要求及付款时间不持异议。</w:t>
      </w:r>
    </w:p>
    <w:p w14:paraId="7203175E">
      <w:pPr>
        <w:spacing w:line="460" w:lineRule="exact"/>
        <w:ind w:firstLine="420" w:firstLineChars="0"/>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（2）成交价格包含成本、运输、包装、培训、配送、伴随服务、税费及其他附加费用等一切费用。</w:t>
      </w:r>
    </w:p>
    <w:p w14:paraId="37A1FF94">
      <w:pPr>
        <w:spacing w:line="460" w:lineRule="exact"/>
        <w:ind w:firstLine="420" w:firstLineChars="0"/>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（3）若本项目中限定了标的数量或金额，</w:t>
      </w:r>
      <w:r>
        <w:rPr>
          <w:rFonts w:hint="eastAsia" w:ascii="仿宋" w:hAnsi="仿宋" w:eastAsia="仿宋" w:cs="仿宋"/>
          <w:color w:val="000000"/>
          <w:kern w:val="0"/>
          <w:sz w:val="24"/>
          <w:highlight w:val="none"/>
          <w:lang w:bidi="ar"/>
        </w:rPr>
        <w:t>成交供应商</w:t>
      </w:r>
      <w:r>
        <w:rPr>
          <w:rFonts w:hint="eastAsia" w:ascii="仿宋" w:hAnsi="仿宋" w:eastAsia="仿宋" w:cs="仿宋"/>
          <w:color w:val="000000"/>
          <w:kern w:val="0"/>
          <w:sz w:val="24"/>
          <w:lang w:bidi="ar"/>
        </w:rPr>
        <w:t>应严格按照响应内容执行，采购人有权拒绝支付超出响应范围</w:t>
      </w:r>
      <w:r>
        <w:rPr>
          <w:rFonts w:hint="eastAsia" w:ascii="仿宋" w:hAnsi="仿宋" w:eastAsia="仿宋" w:cs="仿宋"/>
          <w:color w:val="000000"/>
          <w:kern w:val="0"/>
          <w:sz w:val="24"/>
          <w:lang w:val="en-US" w:eastAsia="zh-CN" w:bidi="ar"/>
        </w:rPr>
        <w:t>的</w:t>
      </w:r>
      <w:r>
        <w:rPr>
          <w:rFonts w:hint="eastAsia" w:ascii="仿宋" w:hAnsi="仿宋" w:eastAsia="仿宋" w:cs="仿宋"/>
          <w:color w:val="000000"/>
          <w:kern w:val="0"/>
          <w:sz w:val="24"/>
          <w:lang w:bidi="ar"/>
        </w:rPr>
        <w:t>任何内容。</w:t>
      </w:r>
    </w:p>
    <w:p w14:paraId="1BE1AEBF">
      <w:pPr>
        <w:spacing w:line="460" w:lineRule="exact"/>
        <w:ind w:firstLine="420" w:firstLineChars="0"/>
        <w:rPr>
          <w:rFonts w:ascii="仿宋" w:hAnsi="仿宋" w:eastAsia="仿宋" w:cs="仿宋"/>
          <w:b/>
          <w:bCs/>
          <w:sz w:val="24"/>
        </w:rPr>
      </w:pPr>
      <w:r>
        <w:rPr>
          <w:rFonts w:hint="eastAsia" w:ascii="仿宋" w:hAnsi="仿宋" w:eastAsia="仿宋" w:cs="仿宋"/>
          <w:b/>
          <w:bCs/>
          <w:sz w:val="24"/>
        </w:rPr>
        <w:t>4.</w:t>
      </w:r>
      <w:r>
        <w:rPr>
          <w:rFonts w:hint="eastAsia" w:ascii="仿宋" w:hAnsi="仿宋" w:eastAsia="仿宋" w:cs="仿宋"/>
          <w:b/>
          <w:bCs/>
          <w:sz w:val="24"/>
          <w:lang w:val="en-US" w:eastAsia="zh-CN"/>
        </w:rPr>
        <w:t>验收、交付标准和方法</w:t>
      </w:r>
    </w:p>
    <w:p w14:paraId="11967FB7">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1）按照《财政部关于进一步加强政府采购需求和履约验收管理的指导意见》（财库〔2016〕205号）的要求以及采购人竞选文件的质量要求和技术指标、竞选人的响应文件及承诺（若有）、国家（行业）标准、采购合同约定标准进行验收；</w:t>
      </w:r>
    </w:p>
    <w:p w14:paraId="5720BB77">
      <w:pPr>
        <w:spacing w:line="460" w:lineRule="exact"/>
        <w:ind w:firstLine="480" w:firstLineChars="200"/>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bidi="ar"/>
        </w:rPr>
        <w:t>（2）</w:t>
      </w:r>
      <w:r>
        <w:rPr>
          <w:rFonts w:hint="eastAsia" w:ascii="仿宋" w:hAnsi="仿宋" w:eastAsia="仿宋" w:cs="仿宋"/>
          <w:color w:val="000000"/>
          <w:kern w:val="0"/>
          <w:sz w:val="24"/>
          <w:lang w:val="en-US" w:eastAsia="zh-CN" w:bidi="ar"/>
        </w:rPr>
        <w:t>验收时如发现所</w:t>
      </w:r>
      <w:r>
        <w:rPr>
          <w:rFonts w:hint="eastAsia" w:ascii="仿宋" w:hAnsi="仿宋" w:eastAsia="仿宋" w:cs="仿宋"/>
          <w:color w:val="000000"/>
          <w:kern w:val="0"/>
          <w:sz w:val="24"/>
          <w:lang w:val="en-US" w:eastAsia="zh-Hans" w:bidi="ar"/>
        </w:rPr>
        <w:t>配送</w:t>
      </w:r>
      <w:r>
        <w:rPr>
          <w:rFonts w:hint="eastAsia" w:ascii="仿宋" w:hAnsi="仿宋" w:eastAsia="仿宋" w:cs="仿宋"/>
          <w:color w:val="000000"/>
          <w:kern w:val="0"/>
          <w:sz w:val="24"/>
          <w:lang w:val="en-US" w:eastAsia="zh-CN" w:bidi="ar"/>
        </w:rPr>
        <w:t>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r>
        <w:rPr>
          <w:rFonts w:hint="eastAsia" w:ascii="仿宋" w:hAnsi="仿宋" w:eastAsia="仿宋" w:cs="仿宋"/>
          <w:color w:val="000000"/>
          <w:kern w:val="0"/>
          <w:sz w:val="24"/>
          <w:lang w:bidi="ar"/>
        </w:rPr>
        <w:t>；</w:t>
      </w:r>
    </w:p>
    <w:p w14:paraId="126A53B9">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w:t>
      </w:r>
      <w:r>
        <w:rPr>
          <w:rFonts w:hint="eastAsia" w:ascii="仿宋" w:hAnsi="仿宋" w:eastAsia="仿宋" w:cs="仿宋"/>
          <w:color w:val="000000"/>
          <w:kern w:val="0"/>
          <w:sz w:val="24"/>
          <w:lang w:val="en-US" w:eastAsia="zh-CN" w:bidi="ar"/>
        </w:rPr>
        <w:t>若所</w:t>
      </w:r>
      <w:r>
        <w:rPr>
          <w:rFonts w:hint="eastAsia" w:ascii="仿宋" w:hAnsi="仿宋" w:eastAsia="仿宋" w:cs="仿宋"/>
          <w:color w:val="000000"/>
          <w:kern w:val="0"/>
          <w:sz w:val="24"/>
          <w:lang w:val="en-US" w:eastAsia="zh-Hans" w:bidi="ar"/>
        </w:rPr>
        <w:t>配送</w:t>
      </w:r>
      <w:r>
        <w:rPr>
          <w:rFonts w:hint="eastAsia" w:ascii="仿宋" w:hAnsi="仿宋" w:eastAsia="仿宋" w:cs="仿宋"/>
          <w:color w:val="000000"/>
          <w:kern w:val="0"/>
          <w:sz w:val="24"/>
          <w:lang w:val="en-US" w:eastAsia="zh-CN" w:bidi="ar"/>
        </w:rPr>
        <w:t>货物不符合验收标准，供应商经过2次</w:t>
      </w:r>
      <w:r>
        <w:rPr>
          <w:rFonts w:hint="eastAsia" w:ascii="仿宋" w:hAnsi="仿宋" w:eastAsia="仿宋" w:cs="仿宋"/>
          <w:color w:val="000000"/>
          <w:kern w:val="0"/>
          <w:sz w:val="24"/>
          <w:lang w:val="en-US" w:eastAsia="zh-Hans" w:bidi="ar"/>
        </w:rPr>
        <w:t>更</w:t>
      </w:r>
      <w:r>
        <w:rPr>
          <w:rFonts w:hint="eastAsia" w:ascii="仿宋" w:hAnsi="仿宋" w:eastAsia="仿宋" w:cs="仿宋"/>
          <w:color w:val="000000"/>
          <w:kern w:val="0"/>
          <w:sz w:val="24"/>
          <w:lang w:val="en-US" w:eastAsia="zh-CN" w:bidi="ar"/>
        </w:rPr>
        <w:t>换后仍不能达到验收质量标准，则视为验收不合格，采购人有权全部（或部分）退货或解除合同。接到采购人退货通知，供应商除应及时运走采购人退还的货物外（若涉及费用或损失均由供应商自行承担），还应向采购人承担相应的违约责任</w:t>
      </w:r>
      <w:r>
        <w:rPr>
          <w:rFonts w:hint="eastAsia" w:ascii="仿宋" w:hAnsi="仿宋" w:eastAsia="仿宋" w:cs="仿宋"/>
          <w:color w:val="000000"/>
          <w:kern w:val="0"/>
          <w:sz w:val="24"/>
          <w:lang w:bidi="ar"/>
        </w:rPr>
        <w:t>。</w:t>
      </w:r>
    </w:p>
    <w:p w14:paraId="292D6C9E">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（4）其他未尽事宜严格按照《财政部关于进一步加强政府采购需求和履约验收管理的指导意见》（财库〔2016〕205号）的要求进行。</w:t>
      </w:r>
    </w:p>
    <w:p w14:paraId="13C07634">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sz w:val="24"/>
        </w:rPr>
        <w:t>（5）所配送耗材的技术参数与性能指标中涉及到的国家标准、行业标准或地方标准，若有最新标准以最新标准为准。</w:t>
      </w:r>
    </w:p>
    <w:p w14:paraId="32D7B69E">
      <w:pPr>
        <w:spacing w:line="460" w:lineRule="exact"/>
        <w:ind w:firstLine="420" w:firstLineChars="0"/>
        <w:rPr>
          <w:rFonts w:hint="eastAsia" w:ascii="仿宋" w:hAnsi="仿宋" w:eastAsia="仿宋" w:cs="仿宋"/>
          <w:b/>
          <w:bCs/>
          <w:sz w:val="24"/>
          <w:lang w:val="en-US" w:eastAsia="zh-CN"/>
        </w:rPr>
      </w:pPr>
      <w:r>
        <w:rPr>
          <w:rFonts w:hint="eastAsia" w:ascii="仿宋" w:hAnsi="仿宋" w:eastAsia="仿宋" w:cs="仿宋"/>
          <w:b/>
          <w:bCs/>
          <w:sz w:val="24"/>
          <w:lang w:val="en-US" w:eastAsia="zh-CN"/>
        </w:rPr>
        <w:t>5.售后服务</w:t>
      </w:r>
    </w:p>
    <w:p w14:paraId="5FCCF231">
      <w:pPr>
        <w:spacing w:line="460" w:lineRule="exact"/>
        <w:ind w:firstLine="420" w:firstLineChars="0"/>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（1）要</w:t>
      </w:r>
      <w:r>
        <w:rPr>
          <w:rFonts w:hint="eastAsia" w:ascii="仿宋" w:hAnsi="仿宋" w:eastAsia="仿宋" w:cs="仿宋"/>
          <w:b w:val="0"/>
          <w:bCs w:val="0"/>
          <w:sz w:val="24"/>
          <w:highlight w:val="none"/>
          <w:lang w:val="en-US" w:eastAsia="zh-CN"/>
        </w:rPr>
        <w:t>求成交供应商必</w:t>
      </w:r>
      <w:r>
        <w:rPr>
          <w:rFonts w:hint="eastAsia" w:ascii="仿宋" w:hAnsi="仿宋" w:eastAsia="仿宋" w:cs="仿宋"/>
          <w:b w:val="0"/>
          <w:bCs w:val="0"/>
          <w:sz w:val="24"/>
          <w:lang w:val="en-US" w:eastAsia="zh-CN"/>
        </w:rPr>
        <w:t>须严格按照竞选文件要求和响应文件中的承诺提供配送服务。如果配送的医用耗材规格、包装等信息与中标产品的规格、包装等信息不一致并不同意更换的，或配送的医用耗材和中标产品不一致的，采购人有权终止合同。</w:t>
      </w:r>
    </w:p>
    <w:p w14:paraId="1D255CE1">
      <w:pPr>
        <w:spacing w:line="460" w:lineRule="exact"/>
        <w:ind w:firstLine="420" w:firstLineChars="0"/>
        <w:rPr>
          <w:rFonts w:hint="eastAsia" w:ascii="仿宋" w:hAnsi="仿宋" w:eastAsia="仿宋" w:cs="仿宋"/>
          <w:b w:val="0"/>
          <w:bCs w:val="0"/>
          <w:sz w:val="24"/>
          <w:lang w:val="en-US" w:eastAsia="zh-CN"/>
        </w:rPr>
      </w:pPr>
      <w:r>
        <w:rPr>
          <w:rFonts w:hint="eastAsia" w:ascii="仿宋" w:hAnsi="仿宋" w:eastAsia="仿宋" w:cs="仿宋"/>
          <w:b/>
          <w:bCs/>
          <w:sz w:val="24"/>
          <w:lang w:val="en-US" w:eastAsia="zh-CN"/>
        </w:rPr>
        <w:t>（2）要求成交供应商指派专人负责与采购人联系售后服务事宜；在响应文件中列明售后联系人及联系电话。</w:t>
      </w:r>
    </w:p>
    <w:p w14:paraId="070FABE1">
      <w:pPr>
        <w:spacing w:line="460" w:lineRule="exact"/>
        <w:ind w:firstLine="420" w:firstLineChars="0"/>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4C770657">
      <w:pPr>
        <w:spacing w:line="460" w:lineRule="exact"/>
        <w:ind w:firstLine="420" w:firstLineChars="0"/>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（4）耗材临近失效期，采购人提前三个月向成交供应商提出更换，成交供应商须在耗材失效前一个月更换完毕，不得以任何理由进行推诿。</w:t>
      </w:r>
    </w:p>
    <w:p w14:paraId="733DE1E1">
      <w:pPr>
        <w:spacing w:line="460" w:lineRule="exact"/>
        <w:ind w:firstLine="420" w:firstLineChars="0"/>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（5）成交供应商必须随货提供其具备医疗器械经营企业的有关合法有效的手续（包括但不限于）：</w:t>
      </w:r>
    </w:p>
    <w:p w14:paraId="0AF2243E">
      <w:pPr>
        <w:spacing w:line="460" w:lineRule="exact"/>
        <w:ind w:firstLine="420" w:firstLineChars="0"/>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5.1产品所涉及逐级授权经销商的医疗器械生产（经营）许可证或生产（经营）企业备案表；</w:t>
      </w:r>
    </w:p>
    <w:p w14:paraId="7390876A">
      <w:pPr>
        <w:spacing w:line="460" w:lineRule="exact"/>
        <w:ind w:firstLine="420" w:firstLineChars="0"/>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5.2医疗器械产品注册证或备案凭证；</w:t>
      </w:r>
    </w:p>
    <w:p w14:paraId="4E3AB08F">
      <w:pPr>
        <w:spacing w:line="460" w:lineRule="exact"/>
        <w:ind w:firstLine="420" w:firstLineChars="0"/>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5.3医疗器械生产企业许可证；</w:t>
      </w:r>
    </w:p>
    <w:p w14:paraId="623643E7">
      <w:pPr>
        <w:spacing w:line="460" w:lineRule="exact"/>
        <w:ind w:firstLine="420" w:firstLineChars="0"/>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5.4经销商获得的委托授权书（逐级）；</w:t>
      </w:r>
    </w:p>
    <w:p w14:paraId="5A2ACA09">
      <w:pPr>
        <w:spacing w:line="460" w:lineRule="exact"/>
        <w:ind w:firstLine="420" w:firstLineChars="0"/>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5.5产品所涉及逐级授权经销商的企业法人营业执照。</w:t>
      </w:r>
    </w:p>
    <w:p w14:paraId="7C620C10">
      <w:pPr>
        <w:spacing w:line="460" w:lineRule="exact"/>
        <w:ind w:firstLine="420" w:firstLineChars="0"/>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5.6采购人要求提供的相关资料。</w:t>
      </w:r>
    </w:p>
    <w:p w14:paraId="2A36CB7F">
      <w:pPr>
        <w:spacing w:line="460" w:lineRule="exact"/>
        <w:ind w:firstLine="420" w:firstLineChars="0"/>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采购人、供应商双方商议后，若因成交供应商或厂家原因无法按上述要求执行的，则采购人可以部分解除采购合同。</w:t>
      </w:r>
    </w:p>
    <w:p w14:paraId="0CF45D45">
      <w:pPr>
        <w:spacing w:line="460" w:lineRule="exact"/>
        <w:ind w:firstLine="420" w:firstLineChars="0"/>
        <w:rPr>
          <w:rFonts w:ascii="仿宋" w:hAnsi="仿宋" w:eastAsia="仿宋" w:cs="仿宋"/>
          <w:b/>
          <w:bCs/>
          <w:sz w:val="24"/>
        </w:rPr>
      </w:pPr>
      <w:r>
        <w:rPr>
          <w:rFonts w:hint="eastAsia" w:ascii="仿宋" w:hAnsi="仿宋" w:eastAsia="仿宋" w:cs="仿宋"/>
          <w:b/>
          <w:bCs/>
          <w:sz w:val="24"/>
          <w:lang w:val="en-US" w:eastAsia="zh-CN"/>
        </w:rPr>
        <w:t>6</w:t>
      </w:r>
      <w:r>
        <w:rPr>
          <w:rFonts w:hint="eastAsia" w:ascii="仿宋" w:hAnsi="仿宋" w:eastAsia="仿宋" w:cs="仿宋"/>
          <w:b/>
          <w:bCs/>
          <w:sz w:val="24"/>
        </w:rPr>
        <w:t>.配送医用耗材质量保证</w:t>
      </w:r>
    </w:p>
    <w:p w14:paraId="12C3C505">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（1）成交供应商须</w:t>
      </w:r>
      <w:r>
        <w:rPr>
          <w:rFonts w:hint="eastAsia" w:ascii="仿宋" w:hAnsi="仿宋" w:eastAsia="仿宋" w:cs="仿宋"/>
          <w:kern w:val="0"/>
          <w:sz w:val="24"/>
          <w:lang w:val="en-US" w:eastAsia="zh-CN"/>
        </w:rPr>
        <w:t>配送</w:t>
      </w:r>
      <w:r>
        <w:rPr>
          <w:rFonts w:hint="eastAsia" w:ascii="仿宋" w:hAnsi="仿宋" w:eastAsia="仿宋" w:cs="仿宋"/>
          <w:kern w:val="0"/>
          <w:sz w:val="24"/>
        </w:rPr>
        <w:t>原厂生产的未曾使用过的、全新的合格的货品（含配套配件等），表面无划伤、无破损痕迹，且权属清楚，不得侵害他人的合法权利。</w:t>
      </w:r>
    </w:p>
    <w:p w14:paraId="0BE62ED4">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（2）成交供应商所</w:t>
      </w:r>
      <w:r>
        <w:rPr>
          <w:rFonts w:hint="eastAsia" w:ascii="仿宋" w:hAnsi="仿宋" w:eastAsia="仿宋" w:cs="仿宋"/>
          <w:kern w:val="0"/>
          <w:sz w:val="24"/>
          <w:lang w:val="en-US" w:eastAsia="zh-CN"/>
        </w:rPr>
        <w:t>配送</w:t>
      </w:r>
      <w:r>
        <w:rPr>
          <w:rFonts w:hint="eastAsia" w:ascii="仿宋" w:hAnsi="仿宋" w:eastAsia="仿宋" w:cs="仿宋"/>
          <w:kern w:val="0"/>
          <w:sz w:val="24"/>
        </w:rPr>
        <w:t>货品须符合或优于国家（行业）标准、本项目竞选文件要求及响应文件响应内容。当响应文件响应内容与竞选文件要求不一致时，以竞选文件内容为准。当响应文件响应内容与国家标准、行业标准（若有）不一致时，以较高标准为准。</w:t>
      </w:r>
    </w:p>
    <w:p w14:paraId="3DB7BEF3">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（3）成交供应商</w:t>
      </w:r>
      <w:r>
        <w:rPr>
          <w:rFonts w:hint="eastAsia" w:ascii="仿宋" w:hAnsi="仿宋" w:eastAsia="仿宋" w:cs="仿宋"/>
          <w:kern w:val="0"/>
          <w:sz w:val="24"/>
          <w:lang w:val="en-US" w:eastAsia="zh-CN"/>
        </w:rPr>
        <w:t>配送</w:t>
      </w:r>
      <w:r>
        <w:rPr>
          <w:rFonts w:hint="eastAsia" w:ascii="仿宋" w:hAnsi="仿宋" w:eastAsia="仿宋" w:cs="仿宋"/>
          <w:kern w:val="0"/>
          <w:sz w:val="24"/>
        </w:rPr>
        <w:t>货品的设计技术专利、外形专利等均应符合我国有关法律法规及行业标准，凡因以上问题与第三方发生的任何纠纷，由成交供应商承担全部责任，成交供应商</w:t>
      </w:r>
      <w:r>
        <w:rPr>
          <w:rFonts w:hint="eastAsia" w:ascii="仿宋" w:hAnsi="仿宋" w:eastAsia="仿宋" w:cs="仿宋"/>
          <w:kern w:val="0"/>
          <w:sz w:val="24"/>
          <w:lang w:eastAsia="zh-Hans"/>
        </w:rPr>
        <w:t>还应</w:t>
      </w:r>
      <w:r>
        <w:rPr>
          <w:rFonts w:hint="eastAsia" w:ascii="仿宋" w:hAnsi="仿宋" w:eastAsia="仿宋" w:cs="仿宋"/>
          <w:kern w:val="0"/>
          <w:sz w:val="24"/>
        </w:rPr>
        <w:t>负责赔偿采购人由此而遭受的全部损失。</w:t>
      </w:r>
    </w:p>
    <w:p w14:paraId="4938A0EB">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（4）成交供应商保证其</w:t>
      </w:r>
      <w:r>
        <w:rPr>
          <w:rFonts w:hint="eastAsia" w:ascii="仿宋" w:hAnsi="仿宋" w:eastAsia="仿宋" w:cs="仿宋"/>
          <w:kern w:val="0"/>
          <w:sz w:val="24"/>
          <w:lang w:val="en-US" w:eastAsia="zh-CN"/>
        </w:rPr>
        <w:t>配送</w:t>
      </w:r>
      <w:r>
        <w:rPr>
          <w:rFonts w:hint="eastAsia" w:ascii="仿宋" w:hAnsi="仿宋" w:eastAsia="仿宋" w:cs="仿宋"/>
          <w:kern w:val="0"/>
          <w:sz w:val="24"/>
        </w:rPr>
        <w:t>货品的安全可靠性。在正常使用下不应对使用者造成任何人身伤害，如因产品质量或标</w:t>
      </w:r>
      <w:r>
        <w:rPr>
          <w:rFonts w:hint="eastAsia" w:ascii="仿宋" w:hAnsi="仿宋" w:eastAsia="仿宋" w:cs="仿宋"/>
          <w:kern w:val="0"/>
          <w:sz w:val="24"/>
          <w:lang w:val="en-US" w:eastAsia="zh-CN"/>
        </w:rPr>
        <w:t>识</w:t>
      </w:r>
      <w:r>
        <w:rPr>
          <w:rFonts w:hint="eastAsia" w:ascii="仿宋" w:hAnsi="仿宋" w:eastAsia="仿宋" w:cs="仿宋"/>
          <w:kern w:val="0"/>
          <w:sz w:val="24"/>
        </w:rPr>
        <w:t>不明确而对使用者造成损失的，由成交供应商承担相应责任。</w:t>
      </w:r>
    </w:p>
    <w:p w14:paraId="3729B118">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4E1FAE41">
      <w:pPr>
        <w:spacing w:line="460" w:lineRule="exact"/>
        <w:ind w:firstLine="420" w:firstLineChars="0"/>
        <w:rPr>
          <w:rFonts w:hint="eastAsia" w:ascii="仿宋" w:hAnsi="仿宋" w:eastAsia="仿宋" w:cs="仿宋"/>
          <w:b/>
          <w:bCs/>
          <w:sz w:val="24"/>
        </w:rPr>
      </w:pPr>
      <w:r>
        <w:rPr>
          <w:rFonts w:hint="eastAsia" w:ascii="仿宋" w:hAnsi="仿宋" w:eastAsia="仿宋" w:cs="仿宋"/>
          <w:kern w:val="0"/>
          <w:sz w:val="24"/>
        </w:rPr>
        <w:t>（6）成交供应商保证所供耗材有效期不低于1年，自通过最终验收之日起，确保采购人在使用耗材的过程中安全、有效。</w:t>
      </w:r>
    </w:p>
    <w:p w14:paraId="698CDBD7">
      <w:pPr>
        <w:spacing w:line="460" w:lineRule="exact"/>
        <w:ind w:firstLine="420" w:firstLineChars="0"/>
        <w:rPr>
          <w:rFonts w:ascii="仿宋" w:hAnsi="仿宋" w:eastAsia="仿宋" w:cs="仿宋"/>
          <w:b/>
          <w:bCs/>
          <w:sz w:val="24"/>
        </w:rPr>
      </w:pPr>
      <w:r>
        <w:rPr>
          <w:rFonts w:hint="eastAsia" w:ascii="仿宋" w:hAnsi="仿宋" w:eastAsia="仿宋" w:cs="仿宋"/>
          <w:b/>
          <w:bCs/>
          <w:sz w:val="24"/>
          <w:lang w:val="en-US" w:eastAsia="zh-CN"/>
        </w:rPr>
        <w:t>7</w:t>
      </w:r>
      <w:r>
        <w:rPr>
          <w:rFonts w:hint="eastAsia" w:ascii="仿宋" w:hAnsi="仿宋" w:eastAsia="仿宋" w:cs="仿宋"/>
          <w:b/>
          <w:bCs/>
          <w:sz w:val="24"/>
        </w:rPr>
        <w:t>.包装和运输</w:t>
      </w:r>
    </w:p>
    <w:p w14:paraId="79425072">
      <w:pPr>
        <w:spacing w:line="460" w:lineRule="exact"/>
        <w:ind w:firstLine="420" w:firstLineChars="0"/>
        <w:rPr>
          <w:rFonts w:ascii="仿宋" w:hAnsi="仿宋" w:eastAsia="仿宋" w:cs="仿宋"/>
          <w:color w:val="000000"/>
          <w:sz w:val="24"/>
        </w:rPr>
      </w:pPr>
      <w:r>
        <w:rPr>
          <w:rFonts w:hint="eastAsia" w:ascii="仿宋" w:hAnsi="仿宋" w:eastAsia="仿宋" w:cs="仿宋"/>
          <w:color w:val="000000"/>
          <w:sz w:val="24"/>
        </w:rPr>
        <w:t xml:space="preserve">（1）成交供应商须严格按照《商品包装政府采购需求标准(试行)》、《快递包装政府采购需求标准(试行)》(财办库〔2020〕123 号)的要求进行产品及相关快递服务的包装。 </w:t>
      </w:r>
    </w:p>
    <w:p w14:paraId="04028CDB">
      <w:pPr>
        <w:spacing w:line="460" w:lineRule="exact"/>
        <w:ind w:firstLine="420" w:firstLineChars="0"/>
        <w:rPr>
          <w:rFonts w:ascii="仿宋" w:hAnsi="仿宋" w:eastAsia="仿宋" w:cs="仿宋"/>
          <w:color w:val="000000"/>
          <w:sz w:val="24"/>
        </w:rPr>
      </w:pPr>
      <w:r>
        <w:rPr>
          <w:rFonts w:hint="eastAsia" w:ascii="仿宋" w:hAnsi="仿宋" w:eastAsia="仿宋" w:cs="仿宋"/>
          <w:color w:val="000000"/>
          <w:sz w:val="24"/>
        </w:rPr>
        <w:t xml:space="preserve">（2）成交供应商应当按照约定的方式交付标的物。对于包装方式没有约定或者约定不明确的，应当按照通用的方式包装；没有通用方式的，应当采取足以保护标的物且有利于节约资源，保护生态环境的包装方式。 </w:t>
      </w:r>
    </w:p>
    <w:p w14:paraId="5D2F64E2">
      <w:pPr>
        <w:spacing w:line="460" w:lineRule="exact"/>
        <w:ind w:firstLine="420" w:firstLineChars="0"/>
        <w:rPr>
          <w:rFonts w:ascii="仿宋" w:hAnsi="仿宋" w:eastAsia="仿宋" w:cs="仿宋"/>
          <w:b/>
          <w:sz w:val="24"/>
        </w:rPr>
      </w:pPr>
      <w:r>
        <w:rPr>
          <w:rFonts w:hint="eastAsia" w:ascii="仿宋" w:hAnsi="仿宋" w:eastAsia="仿宋" w:cs="仿宋"/>
          <w:color w:val="000000"/>
          <w:sz w:val="24"/>
        </w:rPr>
        <w:t>（3）本次采购的标的物需要运输，成交供应商在合同约定的时间内将标的物运输至合同约定地点。</w:t>
      </w:r>
    </w:p>
    <w:p w14:paraId="27350724">
      <w:pPr>
        <w:spacing w:line="460" w:lineRule="exact"/>
        <w:jc w:val="both"/>
        <w:outlineLvl w:val="1"/>
        <w:rPr>
          <w:rFonts w:hint="default" w:ascii="仿宋" w:hAnsi="仿宋" w:eastAsia="仿宋" w:cs="仿宋"/>
          <w:sz w:val="24"/>
          <w:szCs w:val="24"/>
          <w:lang w:val="en-US" w:eastAsia="zh-Hans" w:bidi="ar-SA"/>
        </w:rPr>
      </w:pPr>
      <w:r>
        <w:rPr>
          <w:rFonts w:hint="eastAsia" w:ascii="仿宋" w:hAnsi="仿宋" w:eastAsia="仿宋" w:cs="仿宋"/>
          <w:b/>
          <w:sz w:val="24"/>
          <w:szCs w:val="24"/>
          <w:lang w:val="en-US" w:eastAsia="zh-Hans" w:bidi="ar-SA"/>
        </w:rPr>
        <w:t>3.4.其他要求</w:t>
      </w:r>
    </w:p>
    <w:p w14:paraId="60C648B2">
      <w:pPr>
        <w:spacing w:line="460" w:lineRule="exact"/>
        <w:ind w:firstLine="482" w:firstLineChars="200"/>
        <w:rPr>
          <w:rFonts w:ascii="仿宋" w:hAnsi="仿宋" w:eastAsia="仿宋" w:cs="仿宋"/>
          <w:b/>
          <w:sz w:val="24"/>
        </w:rPr>
      </w:pPr>
      <w:r>
        <w:rPr>
          <w:rFonts w:hint="eastAsia" w:ascii="仿宋" w:hAnsi="仿宋" w:eastAsia="仿宋" w:cs="仿宋"/>
          <w:b/>
          <w:sz w:val="24"/>
        </w:rPr>
        <w:t>一、违约责任：</w:t>
      </w:r>
    </w:p>
    <w:p w14:paraId="25231F6E">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val="en-US" w:eastAsia="zh-CN" w:bidi="ar"/>
        </w:rPr>
        <w:t>1.</w:t>
      </w:r>
      <w:r>
        <w:rPr>
          <w:rFonts w:hint="eastAsia" w:ascii="仿宋" w:hAnsi="仿宋" w:eastAsia="仿宋" w:cs="仿宋"/>
          <w:kern w:val="0"/>
          <w:sz w:val="24"/>
          <w:lang w:bidi="ar"/>
        </w:rPr>
        <w:t>成交供应商逾期15日内不能</w:t>
      </w:r>
      <w:r>
        <w:rPr>
          <w:rFonts w:hint="eastAsia" w:ascii="仿宋" w:hAnsi="仿宋" w:eastAsia="仿宋" w:cs="仿宋"/>
          <w:kern w:val="0"/>
          <w:sz w:val="24"/>
          <w:lang w:val="en-US" w:eastAsia="zh-CN" w:bidi="ar"/>
        </w:rPr>
        <w:t>配送</w:t>
      </w:r>
      <w:r>
        <w:rPr>
          <w:rFonts w:hint="eastAsia" w:ascii="仿宋" w:hAnsi="仿宋" w:eastAsia="仿宋" w:cs="仿宋"/>
          <w:kern w:val="0"/>
          <w:sz w:val="24"/>
          <w:lang w:bidi="ar"/>
        </w:rPr>
        <w:t>采购人所需医用耗材的，应向采购人每日支付该批次货款千分之三的违约金。</w:t>
      </w:r>
    </w:p>
    <w:p w14:paraId="5D0CA173">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val="en-US" w:eastAsia="zh-CN" w:bidi="ar"/>
        </w:rPr>
        <w:t>2.</w:t>
      </w:r>
      <w:r>
        <w:rPr>
          <w:rFonts w:hint="eastAsia" w:ascii="仿宋" w:hAnsi="仿宋" w:eastAsia="仿宋" w:cs="仿宋"/>
          <w:kern w:val="0"/>
          <w:sz w:val="24"/>
          <w:lang w:bidi="ar"/>
        </w:rPr>
        <w:t>成交供应商逾期15日及以上不能</w:t>
      </w:r>
      <w:r>
        <w:rPr>
          <w:rFonts w:hint="eastAsia" w:ascii="仿宋" w:hAnsi="仿宋" w:eastAsia="仿宋" w:cs="仿宋"/>
          <w:kern w:val="0"/>
          <w:sz w:val="24"/>
          <w:lang w:val="en-US" w:eastAsia="zh-CN" w:bidi="ar"/>
        </w:rPr>
        <w:t>配送</w:t>
      </w:r>
      <w:r>
        <w:rPr>
          <w:rFonts w:hint="eastAsia" w:ascii="仿宋" w:hAnsi="仿宋" w:eastAsia="仿宋" w:cs="仿宋"/>
          <w:kern w:val="0"/>
          <w:sz w:val="24"/>
          <w:lang w:bidi="ar"/>
        </w:rPr>
        <w:t>以上产品的，视同不能供货，须向采购人支付该批次货款的10%的违约金，同时采购人可以单方面解除采购合同。</w:t>
      </w:r>
    </w:p>
    <w:p w14:paraId="52D96CD6">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val="en-US" w:eastAsia="zh-CN" w:bidi="ar"/>
        </w:rPr>
        <w:t>3.</w:t>
      </w:r>
      <w:r>
        <w:rPr>
          <w:rFonts w:hint="eastAsia" w:ascii="仿宋" w:hAnsi="仿宋" w:eastAsia="仿宋" w:cs="仿宋"/>
          <w:kern w:val="0"/>
          <w:sz w:val="24"/>
          <w:lang w:bidi="ar"/>
        </w:rPr>
        <w:t>若因成交供应商原因造成采购人被监管部门通报三次及以上或者造成采购人违规采购，采购人有权单方面解除采购合同。同时，采购人有权要求成交供应商支付该批货物价款20%的违约金。</w:t>
      </w:r>
    </w:p>
    <w:p w14:paraId="63E598BF">
      <w:pPr>
        <w:spacing w:line="460" w:lineRule="exact"/>
        <w:ind w:firstLine="480" w:firstLineChars="200"/>
        <w:textAlignment w:val="center"/>
        <w:rPr>
          <w:rFonts w:hint="eastAsia" w:ascii="仿宋" w:hAnsi="仿宋" w:eastAsia="仿宋" w:cs="仿宋"/>
          <w:kern w:val="0"/>
          <w:sz w:val="24"/>
          <w:lang w:bidi="ar"/>
        </w:rPr>
      </w:pPr>
      <w:r>
        <w:rPr>
          <w:rFonts w:hint="eastAsia" w:ascii="仿宋" w:hAnsi="仿宋" w:eastAsia="仿宋" w:cs="仿宋"/>
          <w:kern w:val="0"/>
          <w:sz w:val="24"/>
          <w:lang w:val="en-US" w:eastAsia="zh-CN" w:bidi="ar"/>
        </w:rPr>
        <w:t>4.</w:t>
      </w:r>
      <w:r>
        <w:rPr>
          <w:rFonts w:hint="eastAsia" w:ascii="仿宋" w:hAnsi="仿宋" w:eastAsia="仿宋" w:cs="仿宋"/>
          <w:kern w:val="0"/>
          <w:sz w:val="24"/>
          <w:lang w:bidi="ar"/>
        </w:rPr>
        <w:t>成交供应商销售的产品若发生严重医疗不良事件或被国家法定检测机构检测为不合格产品，视为成交供应商违约导致不能实现采购合同目的，采购人有权单方面解除采购合同，并要求成交供应商限期收回不合格产品，并要求成交供应商需承担合同价款20%的违约金，违约金不足以弥补采购人损失的，成交供应商还应当补足。</w:t>
      </w:r>
    </w:p>
    <w:p w14:paraId="03EB711F">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即使产品已经验收入库（或安装调试完毕）后，采购人才发现产品为不合格产品的，也视为成交供应商违约，成交供应商应当承担本条约定的责任。同时采购人有权退回库存产品。</w:t>
      </w:r>
    </w:p>
    <w:p w14:paraId="39886CD2">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val="en-US" w:eastAsia="zh-CN" w:bidi="ar"/>
        </w:rPr>
        <w:t>5.</w:t>
      </w:r>
      <w:r>
        <w:rPr>
          <w:rFonts w:hint="eastAsia" w:ascii="仿宋" w:hAnsi="仿宋" w:eastAsia="仿宋" w:cs="仿宋"/>
          <w:kern w:val="0"/>
          <w:sz w:val="24"/>
          <w:lang w:bidi="ar"/>
        </w:rPr>
        <w:t>若根据法律规定或本协议约定产生采购人退、换货或拒绝收货情形，由成交供应商承担退换货产生的各项税、费或其他支出。</w:t>
      </w:r>
    </w:p>
    <w:p w14:paraId="3ACFCADA">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val="en-US" w:eastAsia="zh-CN" w:bidi="ar"/>
        </w:rPr>
        <w:t>6.</w:t>
      </w:r>
      <w:r>
        <w:rPr>
          <w:rFonts w:hint="eastAsia" w:ascii="仿宋" w:hAnsi="仿宋" w:eastAsia="仿宋" w:cs="仿宋"/>
          <w:kern w:val="0"/>
          <w:sz w:val="24"/>
          <w:lang w:bidi="ar"/>
        </w:rPr>
        <w:t>成交供应商不能保证及时供货，除应当向采购人承担违约责任外，采购人仍有权单方面解除采购合同。</w:t>
      </w:r>
    </w:p>
    <w:p w14:paraId="7BFA8FD0">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val="en-US" w:eastAsia="zh-CN" w:bidi="ar"/>
        </w:rPr>
        <w:t>7.</w:t>
      </w:r>
      <w:r>
        <w:rPr>
          <w:rFonts w:hint="eastAsia" w:ascii="仿宋" w:hAnsi="仿宋" w:eastAsia="仿宋" w:cs="仿宋"/>
          <w:kern w:val="0"/>
          <w:sz w:val="24"/>
          <w:lang w:bidi="ar"/>
        </w:rPr>
        <w:t>因成交供应商</w:t>
      </w:r>
      <w:r>
        <w:rPr>
          <w:rFonts w:hint="eastAsia" w:ascii="仿宋" w:hAnsi="仿宋" w:eastAsia="仿宋" w:cs="仿宋"/>
          <w:kern w:val="0"/>
          <w:sz w:val="24"/>
          <w:lang w:val="en-US" w:eastAsia="zh-CN" w:bidi="ar"/>
        </w:rPr>
        <w:t>配送</w:t>
      </w:r>
      <w:r>
        <w:rPr>
          <w:rFonts w:hint="eastAsia" w:ascii="仿宋" w:hAnsi="仿宋" w:eastAsia="仿宋" w:cs="仿宋"/>
          <w:kern w:val="0"/>
          <w:sz w:val="24"/>
          <w:lang w:bidi="ar"/>
        </w:rPr>
        <w:t>的产品不合格造成采购人或第三人人身损害或财产损失的，由成交供应商承担赔偿责任。</w:t>
      </w:r>
    </w:p>
    <w:p w14:paraId="01516BEF">
      <w:pPr>
        <w:spacing w:line="460" w:lineRule="exact"/>
        <w:ind w:firstLine="480" w:firstLineChars="200"/>
        <w:textAlignment w:val="center"/>
        <w:rPr>
          <w:rFonts w:hint="eastAsia" w:ascii="仿宋" w:hAnsi="仿宋" w:eastAsia="仿宋" w:cs="仿宋"/>
          <w:kern w:val="0"/>
          <w:sz w:val="24"/>
          <w:lang w:bidi="ar"/>
        </w:rPr>
      </w:pPr>
      <w:r>
        <w:rPr>
          <w:rFonts w:hint="eastAsia" w:ascii="仿宋" w:hAnsi="仿宋" w:eastAsia="仿宋" w:cs="仿宋"/>
          <w:kern w:val="0"/>
          <w:sz w:val="24"/>
          <w:lang w:val="en-US" w:eastAsia="zh-CN" w:bidi="ar"/>
        </w:rPr>
        <w:t>8.</w:t>
      </w:r>
      <w:r>
        <w:rPr>
          <w:rFonts w:hint="eastAsia" w:ascii="仿宋" w:hAnsi="仿宋" w:eastAsia="仿宋" w:cs="仿宋"/>
          <w:kern w:val="0"/>
          <w:sz w:val="24"/>
          <w:lang w:bidi="ar"/>
        </w:rPr>
        <w:t>若因成交供应商原因造成采购人挂网执行存在问题以及线上支付不及时、造成采购人未挂网采购或者存在其他问题的，成交供应商应承担违约责任，且采购人有权要求成交供应商支付该批货物价款20%的违约金，采购人有权单方面解除合同。</w:t>
      </w:r>
    </w:p>
    <w:p w14:paraId="256A8EAB">
      <w:pPr>
        <w:widowControl w:val="0"/>
        <w:snapToGrid w:val="0"/>
        <w:spacing w:line="440" w:lineRule="exact"/>
        <w:ind w:firstLine="480" w:firstLineChars="200"/>
        <w:jc w:val="both"/>
        <w:rPr>
          <w:rFonts w:hint="eastAsia" w:ascii="仿宋" w:hAnsi="仿宋" w:eastAsia="仿宋" w:cs="仿宋"/>
          <w:kern w:val="2"/>
          <w:sz w:val="24"/>
          <w:szCs w:val="24"/>
          <w:lang w:val="en-US" w:eastAsia="zh-CN" w:bidi="ar-SA"/>
        </w:rPr>
      </w:pPr>
      <w:r>
        <w:rPr>
          <w:rFonts w:hint="eastAsia" w:ascii="仿宋" w:hAnsi="仿宋" w:eastAsia="仿宋" w:cs="仿宋"/>
          <w:kern w:val="0"/>
          <w:sz w:val="24"/>
          <w:szCs w:val="24"/>
          <w:lang w:val="en-US" w:eastAsia="zh-CN" w:bidi="ar"/>
        </w:rPr>
        <w:t>9.供应商擅自变更、中止、终止、解除合同的，应按合同总金额30%支付违约金，同时采购人有权单方解除合同。</w:t>
      </w:r>
    </w:p>
    <w:p w14:paraId="28F21BD1">
      <w:pPr>
        <w:spacing w:line="460" w:lineRule="exact"/>
        <w:ind w:firstLine="482" w:firstLineChars="200"/>
        <w:rPr>
          <w:rFonts w:ascii="仿宋" w:hAnsi="仿宋" w:eastAsia="仿宋" w:cs="仿宋"/>
          <w:b/>
          <w:sz w:val="24"/>
        </w:rPr>
      </w:pPr>
      <w:r>
        <w:rPr>
          <w:rFonts w:hint="eastAsia" w:ascii="仿宋" w:hAnsi="仿宋" w:eastAsia="仿宋" w:cs="仿宋"/>
          <w:b/>
          <w:sz w:val="24"/>
        </w:rPr>
        <w:t>二、解决合同纠纷的方式</w:t>
      </w:r>
    </w:p>
    <w:p w14:paraId="0B75DF44">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1.因货物的质量问题发生的争议，由法定质量鉴定机构或其认可的质量鉴定机构进行质量鉴定。货物符合标准的，鉴定费由采购人承担；货物不符合质量标准的，鉴定费由成交供应商承担。</w:t>
      </w:r>
    </w:p>
    <w:p w14:paraId="1A3A0611">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2.合同履行期间，若双方发生争议，可协商或由有关部门调解解决，协商或调解不成的，可向采购人所在地人民法院依法提起诉讼解决。</w:t>
      </w:r>
    </w:p>
    <w:p w14:paraId="1CE51A64">
      <w:pPr>
        <w:spacing w:line="460" w:lineRule="exact"/>
        <w:ind w:firstLine="480"/>
        <w:jc w:val="both"/>
        <w:rPr>
          <w:rFonts w:hint="default" w:ascii="仿宋" w:hAnsi="仿宋" w:eastAsia="仿宋" w:cs="仿宋"/>
          <w:sz w:val="24"/>
          <w:szCs w:val="24"/>
          <w:lang w:val="en-US" w:eastAsia="zh-CN" w:bidi="ar-SA"/>
        </w:rPr>
      </w:pPr>
      <w:r>
        <w:rPr>
          <w:rFonts w:hint="eastAsia" w:ascii="仿宋" w:hAnsi="仿宋" w:eastAsia="仿宋" w:cs="仿宋"/>
          <w:b/>
          <w:bCs/>
          <w:sz w:val="24"/>
          <w:szCs w:val="24"/>
          <w:lang w:val="en-US" w:eastAsia="zh-CN" w:bidi="ar-SA"/>
        </w:rPr>
        <w:t>三、</w:t>
      </w:r>
      <w:r>
        <w:rPr>
          <w:rFonts w:hint="eastAsia" w:ascii="仿宋" w:hAnsi="仿宋" w:eastAsia="仿宋" w:cs="仿宋"/>
          <w:b/>
          <w:bCs/>
          <w:sz w:val="24"/>
          <w:szCs w:val="24"/>
          <w:lang w:val="en-US" w:eastAsia="zh-Hans" w:bidi="ar-SA"/>
        </w:rPr>
        <w:t>履行期限</w:t>
      </w:r>
      <w:r>
        <w:rPr>
          <w:rFonts w:hint="eastAsia" w:ascii="仿宋" w:hAnsi="仿宋" w:eastAsia="仿宋" w:cs="仿宋"/>
          <w:b/>
          <w:bCs/>
          <w:sz w:val="24"/>
          <w:szCs w:val="24"/>
          <w:lang w:val="en-US" w:eastAsia="zh-CN" w:bidi="ar-SA"/>
        </w:rPr>
        <w:t>：</w:t>
      </w:r>
      <w:r>
        <w:rPr>
          <w:rFonts w:hint="eastAsia" w:ascii="仿宋" w:hAnsi="仿宋" w:eastAsia="仿宋" w:cs="仿宋"/>
          <w:sz w:val="24"/>
          <w:szCs w:val="24"/>
          <w:lang w:val="en-US" w:eastAsia="zh-CN" w:bidi="ar-SA"/>
        </w:rPr>
        <w:t>3</w:t>
      </w:r>
      <w:r>
        <w:rPr>
          <w:rFonts w:hint="eastAsia" w:ascii="仿宋" w:hAnsi="仿宋" w:eastAsia="仿宋" w:cs="仿宋"/>
          <w:sz w:val="24"/>
          <w:szCs w:val="24"/>
          <w:lang w:val="en-US" w:eastAsia="zh-CN" w:bidi="ar"/>
        </w:rPr>
        <w:t>年；</w:t>
      </w:r>
    </w:p>
    <w:p w14:paraId="2BF355EE">
      <w:pPr>
        <w:spacing w:line="460" w:lineRule="exact"/>
        <w:ind w:firstLine="480"/>
        <w:jc w:val="both"/>
        <w:rPr>
          <w:rFonts w:hint="default" w:ascii="仿宋" w:hAnsi="仿宋" w:eastAsia="仿宋" w:cs="仿宋"/>
          <w:sz w:val="24"/>
          <w:szCs w:val="24"/>
          <w:lang w:val="en-US" w:eastAsia="zh-CN" w:bidi="ar-SA"/>
        </w:rPr>
      </w:pPr>
      <w:r>
        <w:rPr>
          <w:rFonts w:hint="eastAsia" w:ascii="仿宋" w:hAnsi="仿宋" w:eastAsia="仿宋" w:cs="仿宋"/>
          <w:b/>
          <w:bCs/>
          <w:sz w:val="24"/>
          <w:szCs w:val="24"/>
          <w:lang w:val="en-US" w:eastAsia="zh-CN" w:bidi="ar-SA"/>
        </w:rPr>
        <w:t>四、支付方式：</w:t>
      </w:r>
      <w:r>
        <w:rPr>
          <w:rFonts w:hint="eastAsia" w:ascii="仿宋" w:hAnsi="仿宋" w:eastAsia="仿宋" w:cs="仿宋"/>
          <w:color w:val="000000"/>
          <w:sz w:val="24"/>
          <w:szCs w:val="24"/>
          <w:lang w:val="en-US" w:eastAsia="zh-CN" w:bidi="ar"/>
        </w:rPr>
        <w:t>详见《★3.3、商务要求：3.付款方式和条件》</w:t>
      </w:r>
      <w:r>
        <w:rPr>
          <w:rFonts w:hint="eastAsia" w:ascii="仿宋" w:hAnsi="仿宋" w:eastAsia="仿宋" w:cs="仿宋"/>
          <w:sz w:val="24"/>
          <w:szCs w:val="24"/>
          <w:lang w:val="en-US" w:eastAsia="zh-CN" w:bidi="ar-SA"/>
        </w:rPr>
        <w:t>。</w:t>
      </w:r>
    </w:p>
    <w:p w14:paraId="7B33BE9E">
      <w:pPr>
        <w:spacing w:line="460" w:lineRule="exact"/>
        <w:ind w:firstLine="480"/>
        <w:jc w:val="both"/>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五、履约验收程序：</w:t>
      </w:r>
      <w:r>
        <w:rPr>
          <w:rFonts w:hint="eastAsia" w:ascii="仿宋" w:hAnsi="仿宋" w:eastAsia="仿宋" w:cs="仿宋"/>
          <w:color w:val="000000"/>
          <w:sz w:val="24"/>
          <w:szCs w:val="24"/>
          <w:lang w:val="en-US" w:eastAsia="zh-CN" w:bidi="ar"/>
        </w:rPr>
        <w:t>分批次验收。</w:t>
      </w:r>
    </w:p>
    <w:p w14:paraId="071DA0AF">
      <w:pPr>
        <w:spacing w:line="460" w:lineRule="exact"/>
        <w:ind w:firstLine="480"/>
        <w:jc w:val="both"/>
        <w:rPr>
          <w:rFonts w:hint="default" w:ascii="仿宋" w:hAnsi="仿宋" w:eastAsia="仿宋" w:cs="仿宋"/>
          <w:sz w:val="24"/>
          <w:szCs w:val="24"/>
          <w:lang w:val="en-US" w:eastAsia="zh-Hans" w:bidi="ar-SA"/>
        </w:rPr>
      </w:pPr>
      <w:r>
        <w:rPr>
          <w:rFonts w:hint="eastAsia" w:ascii="仿宋" w:hAnsi="仿宋" w:eastAsia="仿宋" w:cs="仿宋"/>
          <w:b/>
          <w:bCs/>
          <w:sz w:val="24"/>
          <w:szCs w:val="24"/>
          <w:lang w:val="en-US" w:eastAsia="zh-CN" w:bidi="ar-SA"/>
        </w:rPr>
        <w:t>六、履约验收时间：</w:t>
      </w:r>
      <w:r>
        <w:rPr>
          <w:rFonts w:hint="eastAsia" w:ascii="仿宋" w:hAnsi="仿宋" w:eastAsia="仿宋" w:cs="仿宋"/>
          <w:color w:val="000000"/>
          <w:sz w:val="24"/>
          <w:szCs w:val="24"/>
          <w:lang w:val="en-US" w:eastAsia="zh-CN" w:bidi="ar"/>
        </w:rPr>
        <w:t>合同期限内，根据采购人要求分批次送货，完成送货、验收入库视为验收完成。</w:t>
      </w:r>
    </w:p>
    <w:p w14:paraId="19BF157E">
      <w:pPr>
        <w:spacing w:line="460" w:lineRule="exact"/>
        <w:ind w:firstLine="480"/>
        <w:jc w:val="both"/>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七、技术履约验收内容：</w:t>
      </w:r>
      <w:r>
        <w:rPr>
          <w:rFonts w:hint="eastAsia" w:ascii="仿宋" w:hAnsi="仿宋" w:eastAsia="仿宋" w:cs="仿宋"/>
          <w:color w:val="000000"/>
          <w:sz w:val="24"/>
          <w:szCs w:val="24"/>
          <w:lang w:val="en-US" w:eastAsia="zh-CN" w:bidi="ar"/>
        </w:rPr>
        <w:t>采购人按照本项目技术要求进行验收。</w:t>
      </w:r>
    </w:p>
    <w:p w14:paraId="7A713342">
      <w:pPr>
        <w:spacing w:line="460" w:lineRule="exact"/>
        <w:ind w:firstLine="480"/>
        <w:jc w:val="both"/>
        <w:rPr>
          <w:rFonts w:hint="default" w:ascii="仿宋" w:hAnsi="仿宋" w:eastAsia="仿宋" w:cs="仿宋"/>
          <w:color w:val="000000"/>
          <w:sz w:val="24"/>
          <w:szCs w:val="24"/>
          <w:lang w:val="en-US" w:eastAsia="zh-CN" w:bidi="ar"/>
        </w:rPr>
      </w:pPr>
      <w:r>
        <w:rPr>
          <w:rFonts w:hint="eastAsia" w:ascii="仿宋" w:hAnsi="仿宋" w:eastAsia="仿宋" w:cs="仿宋"/>
          <w:b/>
          <w:bCs/>
          <w:sz w:val="24"/>
          <w:szCs w:val="24"/>
          <w:lang w:val="en-US" w:eastAsia="zh-CN" w:bidi="ar-SA"/>
        </w:rPr>
        <w:t>八、商务履约验收内容：</w:t>
      </w:r>
      <w:r>
        <w:rPr>
          <w:rFonts w:hint="eastAsia" w:ascii="仿宋" w:hAnsi="仿宋" w:eastAsia="仿宋" w:cs="仿宋"/>
          <w:color w:val="000000"/>
          <w:sz w:val="24"/>
          <w:szCs w:val="24"/>
          <w:lang w:val="en-US" w:eastAsia="zh-CN" w:bidi="ar"/>
        </w:rPr>
        <w:t>采购人按照本项目商务要求进行验收。</w:t>
      </w:r>
    </w:p>
    <w:p w14:paraId="4788E818">
      <w:pPr>
        <w:spacing w:line="460" w:lineRule="exact"/>
        <w:ind w:firstLine="480"/>
        <w:jc w:val="both"/>
      </w:pPr>
      <w:r>
        <w:rPr>
          <w:rFonts w:hint="eastAsia" w:ascii="仿宋" w:hAnsi="仿宋" w:eastAsia="仿宋" w:cs="仿宋"/>
          <w:b/>
          <w:bCs/>
          <w:color w:val="000000"/>
          <w:sz w:val="24"/>
          <w:szCs w:val="24"/>
          <w:lang w:val="en-US" w:eastAsia="zh-CN" w:bidi="ar"/>
        </w:rPr>
        <w:t>九、履约</w:t>
      </w:r>
      <w:r>
        <w:rPr>
          <w:rFonts w:hint="eastAsia" w:ascii="仿宋" w:hAnsi="仿宋" w:eastAsia="仿宋" w:cs="仿宋"/>
          <w:b/>
          <w:bCs/>
          <w:sz w:val="24"/>
          <w:szCs w:val="24"/>
          <w:lang w:val="en-US" w:eastAsia="zh-CN" w:bidi="ar-SA"/>
        </w:rPr>
        <w:t>验</w:t>
      </w:r>
      <w:r>
        <w:rPr>
          <w:rFonts w:hint="eastAsia" w:ascii="仿宋" w:hAnsi="仿宋" w:eastAsia="仿宋" w:cs="仿宋"/>
          <w:b/>
          <w:bCs/>
          <w:color w:val="000000"/>
          <w:sz w:val="24"/>
          <w:szCs w:val="24"/>
          <w:lang w:val="en-US" w:eastAsia="zh-CN" w:bidi="ar"/>
        </w:rPr>
        <w:t>收标准：</w:t>
      </w:r>
      <w:r>
        <w:rPr>
          <w:rFonts w:hint="eastAsia" w:ascii="仿宋" w:hAnsi="仿宋" w:eastAsia="仿宋" w:cs="仿宋"/>
          <w:color w:val="000000"/>
          <w:sz w:val="24"/>
          <w:szCs w:val="24"/>
          <w:lang w:val="en-US" w:eastAsia="zh-CN" w:bidi="ar"/>
        </w:rPr>
        <w:t>采</w:t>
      </w:r>
      <w:bookmarkStart w:id="5" w:name="_GoBack"/>
      <w:bookmarkEnd w:id="5"/>
      <w:r>
        <w:rPr>
          <w:rFonts w:hint="eastAsia" w:ascii="仿宋" w:hAnsi="仿宋" w:eastAsia="仿宋" w:cs="仿宋"/>
          <w:color w:val="000000"/>
          <w:sz w:val="24"/>
          <w:szCs w:val="24"/>
          <w:lang w:val="en-US" w:eastAsia="zh-CN" w:bidi="ar"/>
        </w:rPr>
        <w:t>购人按照本项目合同要求进行验收。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18030">
    <w:panose1 w:val="02000000000000000000"/>
    <w:charset w:val="86"/>
    <w:family w:val="auto"/>
    <w:pitch w:val="default"/>
    <w:sig w:usb0="00000001" w:usb1="08000000" w:usb2="00000000" w:usb3="00000000" w:csb0="00040000" w:csb1="00000000"/>
  </w:font>
  <w:font w:name="WPSEMBED4">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877B56"/>
    <w:rsid w:val="0B05798A"/>
    <w:rsid w:val="0DA13835"/>
    <w:rsid w:val="10155185"/>
    <w:rsid w:val="13BA2281"/>
    <w:rsid w:val="26CD5E16"/>
    <w:rsid w:val="33590AD6"/>
    <w:rsid w:val="385D4AB2"/>
    <w:rsid w:val="3DCE50EF"/>
    <w:rsid w:val="419B6349"/>
    <w:rsid w:val="47AE39DF"/>
    <w:rsid w:val="4E1D6DBA"/>
    <w:rsid w:val="50315E90"/>
    <w:rsid w:val="5CAC1AD8"/>
    <w:rsid w:val="6A6B0B45"/>
    <w:rsid w:val="74877B56"/>
    <w:rsid w:val="74C27A2F"/>
    <w:rsid w:val="79230381"/>
    <w:rsid w:val="7FDF2E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napToGrid w:val="0"/>
      <w:spacing w:line="440" w:lineRule="exact"/>
    </w:pPr>
    <w:rPr>
      <w:rFonts w:ascii="Times New Roman" w:eastAsia="Times New Roman"/>
      <w:sz w:val="20"/>
    </w:rPr>
  </w:style>
  <w:style w:type="paragraph" w:styleId="3">
    <w:name w:val="Body Text First Indent"/>
    <w:basedOn w:val="2"/>
    <w:next w:val="1"/>
    <w:qFormat/>
    <w:uiPriority w:val="99"/>
    <w:pPr>
      <w:tabs>
        <w:tab w:val="left" w:pos="780"/>
      </w:tabs>
      <w:spacing w:after="120"/>
      <w:ind w:firstLine="420" w:firstLineChars="100"/>
    </w:p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4206</Words>
  <Characters>4415</Characters>
  <Lines>0</Lines>
  <Paragraphs>0</Paragraphs>
  <TotalTime>0</TotalTime>
  <ScaleCrop>false</ScaleCrop>
  <LinksUpToDate>false</LinksUpToDate>
  <CharactersWithSpaces>4419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2025-04-08T08:08:00Z</dcterms:created>
  <dc:creator>LC</dc:creator>
  <cp:lastModifiedBy>yxx</cp:lastModifiedBy>
  <dcterms:modified xsi:type="dcterms:W3CDTF">2026-07-29T07:44:42Z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11A8E4A81E5C459F8BBBEA788B089B22_11</vt:lpwstr>
  </property>
  <property fmtid="{D5CDD505-2E9C-101B-9397-08002B2CF9AE}" pid="4" name="KSOTemplateDocerSaveRecord">
    <vt:lpwstr>eyJoZGlkIjoiZGNlNzBkOTdkMjdjYzMwMmJiMmE5YmI3OWU3YTk3YTQiLCJ1c2VySWQiOiI5NTIyMzI0MTMifQ==</vt:lpwstr>
  </property>
</Properties>
</file>