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8525D">
      <w:pPr>
        <w:pStyle w:val="7"/>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0850A5A1">
      <w:pPr>
        <w:pStyle w:val="7"/>
        <w:spacing w:line="360" w:lineRule="auto"/>
        <w:ind w:firstLine="48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（注：本章的技术、服务及其他要求中，带“★”的要求为实质性要求。</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、代理机构应当根据项目实际要求合理设定，并在第五章符合性审查中明确响应要求。）</w:t>
      </w:r>
    </w:p>
    <w:p w14:paraId="048B5B3D">
      <w:pPr>
        <w:pStyle w:val="7"/>
        <w:spacing w:line="360" w:lineRule="auto"/>
        <w:jc w:val="left"/>
        <w:outlineLvl w:val="1"/>
        <w:rPr>
          <w:rFonts w:hint="eastAsia" w:ascii="仿宋" w:hAnsi="仿宋" w:eastAsia="仿宋" w:cs="仿宋"/>
          <w:sz w:val="24"/>
          <w:szCs w:val="24"/>
          <w:highlight w:val="none"/>
          <w:lang w:eastAsia="zh-CN"/>
        </w:rPr>
      </w:pPr>
      <w:r>
        <w:rPr>
          <w:rFonts w:hint="eastAsia" w:ascii="仿宋" w:hAnsi="仿宋" w:eastAsia="仿宋" w:cs="仿宋"/>
          <w:b/>
          <w:sz w:val="24"/>
          <w:szCs w:val="24"/>
          <w:highlight w:val="none"/>
          <w:lang w:eastAsia="zh-CN"/>
        </w:rPr>
        <w:t>一、</w:t>
      </w:r>
      <w:r>
        <w:rPr>
          <w:rFonts w:hint="eastAsia" w:ascii="仿宋" w:hAnsi="仿宋" w:eastAsia="仿宋" w:cs="仿宋"/>
          <w:b/>
          <w:sz w:val="24"/>
          <w:szCs w:val="24"/>
          <w:highlight w:val="none"/>
          <w:lang w:val="en-US" w:eastAsia="zh-CN"/>
        </w:rPr>
        <w:t>标的情况</w:t>
      </w:r>
    </w:p>
    <w:p w14:paraId="26EEB938">
      <w:pPr>
        <w:pStyle w:val="7"/>
        <w:spacing w:line="360" w:lineRule="auto"/>
        <w:jc w:val="left"/>
        <w:outlineLvl w:val="2"/>
        <w:rPr>
          <w:rFonts w:hint="eastAsia" w:ascii="仿宋" w:hAnsi="仿宋" w:eastAsia="仿宋" w:cs="仿宋"/>
          <w:b/>
          <w:bCs/>
          <w:i w:val="0"/>
          <w:iCs w:val="0"/>
          <w:sz w:val="24"/>
          <w:szCs w:val="24"/>
        </w:rPr>
      </w:pPr>
      <w:r>
        <w:rPr>
          <w:rFonts w:hint="eastAsia" w:ascii="仿宋" w:hAnsi="仿宋" w:eastAsia="仿宋" w:cs="仿宋"/>
          <w:b/>
          <w:bCs/>
          <w:i w:val="0"/>
          <w:iCs w:val="0"/>
          <w:sz w:val="24"/>
          <w:szCs w:val="24"/>
        </w:rPr>
        <w:t>采购包1：</w:t>
      </w:r>
    </w:p>
    <w:tbl>
      <w:tblPr>
        <w:tblStyle w:val="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923"/>
        <w:gridCol w:w="988"/>
        <w:gridCol w:w="1683"/>
        <w:gridCol w:w="1332"/>
        <w:gridCol w:w="1065"/>
        <w:gridCol w:w="1072"/>
        <w:gridCol w:w="1480"/>
      </w:tblGrid>
      <w:tr w14:paraId="602D1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22" w:hRule="atLeast"/>
        </w:trPr>
        <w:tc>
          <w:tcPr>
            <w:tcW w:w="540"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46347C1">
            <w:pPr>
              <w:spacing w:line="400" w:lineRule="exact"/>
              <w:jc w:val="center"/>
              <w:rPr>
                <w:rFonts w:hint="default" w:ascii="Times New Roman" w:hAnsi="Times New Roman" w:eastAsia="仿宋" w:cs="Times New Roman"/>
                <w:b/>
                <w:bCs/>
                <w:color w:val="auto"/>
                <w:sz w:val="24"/>
                <w:szCs w:val="24"/>
                <w:highlight w:val="none"/>
                <w:shd w:val="clear" w:color="auto" w:fill="auto"/>
                <w:lang w:val="en-US" w:eastAsia="zh-CN"/>
              </w:rPr>
            </w:pPr>
            <w:r>
              <w:rPr>
                <w:rFonts w:hint="default" w:ascii="Times New Roman" w:hAnsi="Times New Roman" w:eastAsia="仿宋" w:cs="Times New Roman"/>
                <w:b/>
                <w:bCs/>
                <w:color w:val="auto"/>
                <w:sz w:val="24"/>
                <w:szCs w:val="24"/>
                <w:highlight w:val="none"/>
                <w:shd w:val="clear" w:color="auto" w:fill="auto"/>
                <w:lang w:val="en-US" w:eastAsia="zh-CN"/>
              </w:rPr>
              <w:t>包号</w:t>
            </w:r>
          </w:p>
        </w:tc>
        <w:tc>
          <w:tcPr>
            <w:tcW w:w="578"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FD192AD">
            <w:pPr>
              <w:spacing w:line="400" w:lineRule="exact"/>
              <w:jc w:val="center"/>
              <w:rPr>
                <w:rFonts w:hint="default" w:ascii="Times New Roman" w:hAnsi="Times New Roman" w:eastAsia="仿宋" w:cs="Times New Roman"/>
                <w:b/>
                <w:bCs/>
                <w:color w:val="auto"/>
                <w:sz w:val="24"/>
                <w:szCs w:val="24"/>
                <w:highlight w:val="none"/>
                <w:shd w:val="clear" w:color="auto" w:fill="auto"/>
                <w:lang w:val="en-US" w:eastAsia="zh-CN"/>
              </w:rPr>
            </w:pPr>
            <w:r>
              <w:rPr>
                <w:rFonts w:hint="default" w:ascii="Times New Roman" w:hAnsi="Times New Roman" w:eastAsia="仿宋" w:cs="Times New Roman"/>
                <w:b/>
                <w:bCs/>
                <w:color w:val="auto"/>
                <w:sz w:val="24"/>
                <w:szCs w:val="24"/>
                <w:highlight w:val="none"/>
                <w:shd w:val="clear" w:color="auto" w:fill="auto"/>
                <w:lang w:val="en-US" w:eastAsia="zh-CN"/>
              </w:rPr>
              <w:t>编号</w:t>
            </w:r>
          </w:p>
        </w:tc>
        <w:tc>
          <w:tcPr>
            <w:tcW w:w="984"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384C170">
            <w:pPr>
              <w:spacing w:line="400" w:lineRule="exact"/>
              <w:jc w:val="center"/>
              <w:rPr>
                <w:rFonts w:hint="default" w:ascii="Times New Roman" w:hAnsi="Times New Roman" w:eastAsia="仿宋" w:cs="Times New Roman"/>
                <w:b/>
                <w:bCs/>
                <w:color w:val="auto"/>
                <w:sz w:val="24"/>
                <w:szCs w:val="24"/>
                <w:highlight w:val="none"/>
                <w:shd w:val="clear" w:color="auto" w:fill="auto"/>
                <w:lang w:val="en-US" w:eastAsia="zh-CN"/>
              </w:rPr>
            </w:pPr>
            <w:r>
              <w:rPr>
                <w:rFonts w:hint="default" w:ascii="Times New Roman" w:hAnsi="Times New Roman" w:eastAsia="仿宋" w:cs="Times New Roman"/>
                <w:b/>
                <w:bCs/>
                <w:color w:val="auto"/>
                <w:sz w:val="24"/>
                <w:szCs w:val="24"/>
                <w:highlight w:val="none"/>
                <w:shd w:val="clear" w:color="auto" w:fill="auto"/>
                <w:lang w:val="en-US" w:eastAsia="zh-CN"/>
              </w:rPr>
              <w:t>标的名称</w:t>
            </w:r>
          </w:p>
        </w:tc>
        <w:tc>
          <w:tcPr>
            <w:tcW w:w="779"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B52BFFC">
            <w:pPr>
              <w:spacing w:line="400" w:lineRule="exact"/>
              <w:jc w:val="center"/>
              <w:rPr>
                <w:rFonts w:hint="default" w:ascii="Times New Roman" w:hAnsi="Times New Roman" w:eastAsia="仿宋" w:cs="Times New Roman"/>
                <w:b/>
                <w:bCs/>
                <w:color w:val="auto"/>
                <w:sz w:val="24"/>
                <w:szCs w:val="24"/>
                <w:highlight w:val="none"/>
                <w:shd w:val="clear" w:color="auto" w:fill="auto"/>
                <w:lang w:val="en-US" w:eastAsia="zh-CN"/>
              </w:rPr>
            </w:pPr>
            <w:r>
              <w:rPr>
                <w:rFonts w:hint="eastAsia" w:ascii="Times New Roman" w:hAnsi="Times New Roman" w:eastAsia="仿宋" w:cs="Times New Roman"/>
                <w:b/>
                <w:bCs/>
                <w:color w:val="auto"/>
                <w:sz w:val="24"/>
                <w:szCs w:val="24"/>
                <w:highlight w:val="none"/>
                <w:shd w:val="clear" w:color="auto" w:fill="auto"/>
                <w:lang w:val="en-US" w:eastAsia="zh-CN"/>
              </w:rPr>
              <w:t>单价最高限价（</w:t>
            </w:r>
            <w:r>
              <w:rPr>
                <w:rFonts w:hint="default" w:ascii="Times New Roman" w:hAnsi="Times New Roman" w:eastAsia="仿宋" w:cs="Times New Roman"/>
                <w:b/>
                <w:bCs/>
                <w:color w:val="auto"/>
                <w:sz w:val="24"/>
                <w:szCs w:val="24"/>
                <w:highlight w:val="none"/>
                <w:shd w:val="clear" w:color="auto" w:fill="auto"/>
                <w:lang w:val="en-US" w:eastAsia="zh-CN"/>
              </w:rPr>
              <w:t>元</w:t>
            </w:r>
            <w:r>
              <w:rPr>
                <w:rFonts w:hint="eastAsia" w:ascii="Times New Roman" w:hAnsi="Times New Roman" w:eastAsia="仿宋" w:cs="Times New Roman"/>
                <w:b/>
                <w:bCs/>
                <w:color w:val="auto"/>
                <w:sz w:val="24"/>
                <w:szCs w:val="24"/>
                <w:highlight w:val="none"/>
                <w:shd w:val="clear" w:color="auto" w:fill="auto"/>
                <w:lang w:val="en-US" w:eastAsia="zh-CN"/>
              </w:rPr>
              <w:t>）</w:t>
            </w:r>
          </w:p>
        </w:tc>
        <w:tc>
          <w:tcPr>
            <w:tcW w:w="623"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7054DA5">
            <w:pPr>
              <w:spacing w:line="400" w:lineRule="exact"/>
              <w:jc w:val="center"/>
              <w:rPr>
                <w:rFonts w:hint="default" w:ascii="Times New Roman" w:hAnsi="Times New Roman" w:eastAsia="仿宋" w:cs="Times New Roman"/>
                <w:b/>
                <w:bCs/>
                <w:color w:val="auto"/>
                <w:sz w:val="24"/>
                <w:szCs w:val="24"/>
                <w:highlight w:val="none"/>
                <w:shd w:val="clear" w:color="auto" w:fill="auto"/>
                <w:lang w:val="en-US" w:eastAsia="zh-CN"/>
              </w:rPr>
            </w:pPr>
            <w:r>
              <w:rPr>
                <w:rFonts w:hint="default" w:ascii="Times New Roman" w:hAnsi="Times New Roman" w:eastAsia="仿宋" w:cs="Times New Roman"/>
                <w:b/>
                <w:bCs/>
                <w:color w:val="auto"/>
                <w:sz w:val="24"/>
                <w:szCs w:val="24"/>
                <w:highlight w:val="none"/>
                <w:shd w:val="clear" w:color="auto" w:fill="auto"/>
                <w:lang w:val="en-US" w:eastAsia="zh-CN"/>
              </w:rPr>
              <w:t>数量</w:t>
            </w:r>
          </w:p>
        </w:tc>
        <w:tc>
          <w:tcPr>
            <w:tcW w:w="627"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133DBE4C">
            <w:pPr>
              <w:spacing w:line="400" w:lineRule="exact"/>
              <w:jc w:val="center"/>
              <w:rPr>
                <w:rFonts w:hint="default" w:ascii="Times New Roman" w:hAnsi="Times New Roman" w:eastAsia="仿宋" w:cs="Times New Roman"/>
                <w:b/>
                <w:bCs/>
                <w:color w:val="auto"/>
                <w:sz w:val="24"/>
                <w:szCs w:val="24"/>
                <w:highlight w:val="none"/>
                <w:shd w:val="clear" w:color="auto" w:fill="auto"/>
                <w:lang w:val="en-US" w:eastAsia="zh-CN"/>
              </w:rPr>
            </w:pPr>
            <w:r>
              <w:rPr>
                <w:rFonts w:hint="default" w:ascii="Times New Roman" w:hAnsi="Times New Roman" w:eastAsia="仿宋" w:cs="Times New Roman"/>
                <w:b/>
                <w:bCs/>
                <w:color w:val="auto"/>
                <w:sz w:val="24"/>
                <w:szCs w:val="24"/>
                <w:highlight w:val="none"/>
                <w:shd w:val="clear" w:color="auto" w:fill="auto"/>
                <w:lang w:val="en-US" w:eastAsia="zh-CN"/>
              </w:rPr>
              <w:t>计量单位</w:t>
            </w:r>
          </w:p>
        </w:tc>
        <w:tc>
          <w:tcPr>
            <w:tcW w:w="865"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05AEC37">
            <w:pPr>
              <w:spacing w:line="400" w:lineRule="exact"/>
              <w:jc w:val="center"/>
              <w:rPr>
                <w:rFonts w:hint="default" w:ascii="Times New Roman" w:hAnsi="Times New Roman" w:eastAsia="仿宋" w:cs="Times New Roman"/>
                <w:b/>
                <w:bCs/>
                <w:color w:val="auto"/>
                <w:sz w:val="24"/>
                <w:szCs w:val="24"/>
                <w:highlight w:val="none"/>
                <w:shd w:val="clear" w:color="auto" w:fill="auto"/>
                <w:lang w:val="en-US" w:eastAsia="zh-CN"/>
              </w:rPr>
            </w:pPr>
            <w:r>
              <w:rPr>
                <w:rFonts w:hint="eastAsia" w:ascii="Times New Roman" w:hAnsi="Times New Roman" w:eastAsia="仿宋" w:cs="Times New Roman"/>
                <w:b/>
                <w:bCs/>
                <w:color w:val="auto"/>
                <w:sz w:val="24"/>
                <w:szCs w:val="24"/>
                <w:highlight w:val="none"/>
                <w:shd w:val="clear" w:color="auto" w:fill="auto"/>
                <w:lang w:val="en-US" w:eastAsia="zh-CN"/>
              </w:rPr>
              <w:t>预算金额/最高限价（</w:t>
            </w:r>
            <w:r>
              <w:rPr>
                <w:rFonts w:hint="default" w:ascii="Times New Roman" w:hAnsi="Times New Roman" w:eastAsia="仿宋" w:cs="Times New Roman"/>
                <w:b/>
                <w:bCs/>
                <w:color w:val="auto"/>
                <w:sz w:val="24"/>
                <w:szCs w:val="24"/>
                <w:highlight w:val="none"/>
                <w:shd w:val="clear" w:color="auto" w:fill="auto"/>
                <w:lang w:val="en-US" w:eastAsia="zh-CN"/>
              </w:rPr>
              <w:t>元</w:t>
            </w:r>
            <w:r>
              <w:rPr>
                <w:rFonts w:hint="eastAsia" w:ascii="Times New Roman" w:hAnsi="Times New Roman" w:eastAsia="仿宋" w:cs="Times New Roman"/>
                <w:b/>
                <w:bCs/>
                <w:color w:val="auto"/>
                <w:sz w:val="24"/>
                <w:szCs w:val="24"/>
                <w:highlight w:val="none"/>
                <w:shd w:val="clear" w:color="auto" w:fill="auto"/>
                <w:lang w:val="en-US" w:eastAsia="zh-CN"/>
              </w:rPr>
              <w:t>）</w:t>
            </w:r>
          </w:p>
        </w:tc>
      </w:tr>
      <w:tr w14:paraId="1E12B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54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E0D27CE">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5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EF053DF">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w:t>
            </w:r>
          </w:p>
        </w:tc>
        <w:tc>
          <w:tcPr>
            <w:tcW w:w="984"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F5DA862">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一次性使用吸头</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52F3DF9">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0.12</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E4C1C65">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85F2727">
            <w:pPr>
              <w:keepNext w:val="0"/>
              <w:keepLines w:val="0"/>
              <w:widowControl/>
              <w:suppressLineNumbers w:val="0"/>
              <w:jc w:val="center"/>
              <w:textAlignment w:val="center"/>
              <w:rPr>
                <w:rFonts w:hint="default"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支</w:t>
            </w:r>
          </w:p>
        </w:tc>
        <w:tc>
          <w:tcPr>
            <w:tcW w:w="86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450B0EA">
            <w:pPr>
              <w:keepNext w:val="0"/>
              <w:keepLines w:val="0"/>
              <w:widowControl/>
              <w:suppressLineNumbers w:val="0"/>
              <w:jc w:val="center"/>
              <w:textAlignment w:val="center"/>
              <w:rPr>
                <w:rFonts w:hint="default"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据实结算</w:t>
            </w:r>
          </w:p>
        </w:tc>
      </w:tr>
      <w:tr w14:paraId="13B5D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54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9AD1173">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5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79EFA68">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w:t>
            </w:r>
          </w:p>
        </w:tc>
        <w:tc>
          <w:tcPr>
            <w:tcW w:w="984"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8E63EDD">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一次性使用吸头</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87050B1">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0.12</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CF7B8C2">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1872492">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支</w:t>
            </w:r>
          </w:p>
        </w:tc>
        <w:tc>
          <w:tcPr>
            <w:tcW w:w="86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2E4B106">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据实结算</w:t>
            </w:r>
          </w:p>
        </w:tc>
      </w:tr>
      <w:tr w14:paraId="53330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54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5B4CEC2">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5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6EFFE84">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w:t>
            </w:r>
          </w:p>
        </w:tc>
        <w:tc>
          <w:tcPr>
            <w:tcW w:w="984"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C2C8ADD">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一次性使用滤芯吸头</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BAAF64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0.43</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43D6284">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930F6E0">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支</w:t>
            </w:r>
          </w:p>
        </w:tc>
        <w:tc>
          <w:tcPr>
            <w:tcW w:w="86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0607F04">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据实结算</w:t>
            </w:r>
          </w:p>
        </w:tc>
      </w:tr>
      <w:tr w14:paraId="175A8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54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ACEBF37">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5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B3E927E">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4</w:t>
            </w:r>
          </w:p>
        </w:tc>
        <w:tc>
          <w:tcPr>
            <w:tcW w:w="984"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1B12E1">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一次性使用滤芯吸头</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40C833B">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0.43</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3E1F22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8B94BC9">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支</w:t>
            </w:r>
          </w:p>
        </w:tc>
        <w:tc>
          <w:tcPr>
            <w:tcW w:w="86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0FD97B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据实结算</w:t>
            </w:r>
          </w:p>
        </w:tc>
      </w:tr>
      <w:tr w14:paraId="01267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54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969446B">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5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678664A">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5</w:t>
            </w:r>
          </w:p>
        </w:tc>
        <w:tc>
          <w:tcPr>
            <w:tcW w:w="984"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6B70BF0">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一次性使用微量采血吸管</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4042B5D">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36</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DFCA1BA">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C1DC746">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筒</w:t>
            </w:r>
          </w:p>
        </w:tc>
        <w:tc>
          <w:tcPr>
            <w:tcW w:w="86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2AB97B6">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据实结算</w:t>
            </w:r>
          </w:p>
        </w:tc>
      </w:tr>
      <w:tr w14:paraId="0A129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54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C2BB66E">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5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4C86A71">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6</w:t>
            </w:r>
          </w:p>
        </w:tc>
        <w:tc>
          <w:tcPr>
            <w:tcW w:w="984"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3D223CE">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一次性使用离心管</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B10CD24">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0.14</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812828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4744870">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台</w:t>
            </w:r>
          </w:p>
        </w:tc>
        <w:tc>
          <w:tcPr>
            <w:tcW w:w="86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4E4CED6">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据实结算</w:t>
            </w:r>
          </w:p>
        </w:tc>
      </w:tr>
      <w:tr w14:paraId="5DFD0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54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D43923F">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5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1D9A65D">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7</w:t>
            </w:r>
          </w:p>
        </w:tc>
        <w:tc>
          <w:tcPr>
            <w:tcW w:w="984"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2515929">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一次性使用抗凝管</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C673C36">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0.14</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A7B116B">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2B12C15">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支</w:t>
            </w:r>
          </w:p>
        </w:tc>
        <w:tc>
          <w:tcPr>
            <w:tcW w:w="86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93AFF7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据实结算</w:t>
            </w:r>
          </w:p>
        </w:tc>
      </w:tr>
      <w:tr w14:paraId="72CFB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54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12D97C0">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5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6D4F3A3">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8</w:t>
            </w:r>
          </w:p>
        </w:tc>
        <w:tc>
          <w:tcPr>
            <w:tcW w:w="984"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D04F69">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试管架</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9F789AD">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18</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21E5F7E">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F2D63DA">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个</w:t>
            </w:r>
          </w:p>
        </w:tc>
        <w:tc>
          <w:tcPr>
            <w:tcW w:w="86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A9838A3">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据实结算</w:t>
            </w:r>
          </w:p>
        </w:tc>
      </w:tr>
      <w:tr w14:paraId="55267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54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43D8B99">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5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AE559A1">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9</w:t>
            </w:r>
          </w:p>
        </w:tc>
        <w:tc>
          <w:tcPr>
            <w:tcW w:w="984"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76BFAE1">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香柏油</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CA652AA">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14</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897543E">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CC7AA2F">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瓶</w:t>
            </w:r>
          </w:p>
        </w:tc>
        <w:tc>
          <w:tcPr>
            <w:tcW w:w="86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9D512AE">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据实结算</w:t>
            </w:r>
          </w:p>
        </w:tc>
      </w:tr>
      <w:tr w14:paraId="67100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54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89FD228">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5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510D3A8">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10</w:t>
            </w:r>
          </w:p>
        </w:tc>
        <w:tc>
          <w:tcPr>
            <w:tcW w:w="984"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742C7F4">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管联配平盖</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DC2128D">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0.12</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32E2DA3">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83FD01F">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把</w:t>
            </w:r>
          </w:p>
        </w:tc>
        <w:tc>
          <w:tcPr>
            <w:tcW w:w="86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50AC95D">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据实结算</w:t>
            </w:r>
          </w:p>
        </w:tc>
      </w:tr>
      <w:tr w14:paraId="45A65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54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B719BCF">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5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B2E5A1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11</w:t>
            </w:r>
          </w:p>
        </w:tc>
        <w:tc>
          <w:tcPr>
            <w:tcW w:w="984"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30209D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高级擦镜纸</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55E36E1">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5</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242B142">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437B44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本</w:t>
            </w:r>
          </w:p>
        </w:tc>
        <w:tc>
          <w:tcPr>
            <w:tcW w:w="86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A7DB1BF">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据实结算</w:t>
            </w:r>
          </w:p>
        </w:tc>
      </w:tr>
      <w:tr w14:paraId="72E09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54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4DD80FD">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5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8CE60D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12</w:t>
            </w:r>
          </w:p>
        </w:tc>
        <w:tc>
          <w:tcPr>
            <w:tcW w:w="984"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1DD8A32">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一次性使用试管塞</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10ACA7D">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260</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6476651">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0B2AA48">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袋</w:t>
            </w:r>
          </w:p>
        </w:tc>
        <w:tc>
          <w:tcPr>
            <w:tcW w:w="86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97168A3">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据实结算</w:t>
            </w:r>
          </w:p>
        </w:tc>
      </w:tr>
      <w:tr w14:paraId="2AF93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54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78CD900">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5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21F3231">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13</w:t>
            </w:r>
          </w:p>
        </w:tc>
        <w:tc>
          <w:tcPr>
            <w:tcW w:w="984"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A81DF1A">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一次性使用试管</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C5DB33D">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0.16</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6C8655D">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DF74966">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支</w:t>
            </w:r>
          </w:p>
        </w:tc>
        <w:tc>
          <w:tcPr>
            <w:tcW w:w="86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F1AC836">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据实结算</w:t>
            </w:r>
          </w:p>
        </w:tc>
      </w:tr>
      <w:tr w14:paraId="2C101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54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1FC0531">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5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1EF9AA3">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14</w:t>
            </w:r>
          </w:p>
        </w:tc>
        <w:tc>
          <w:tcPr>
            <w:tcW w:w="984"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6937CBE">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一次性使用试管</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BB488D2">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0.75</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7F733C0">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0699A4A">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支</w:t>
            </w:r>
          </w:p>
        </w:tc>
        <w:tc>
          <w:tcPr>
            <w:tcW w:w="86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3B09465">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据实结算</w:t>
            </w:r>
          </w:p>
        </w:tc>
      </w:tr>
      <w:tr w14:paraId="67179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54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B55ED07">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5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DFF8AD1">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15</w:t>
            </w:r>
          </w:p>
        </w:tc>
        <w:tc>
          <w:tcPr>
            <w:tcW w:w="984"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22AE381">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一次性使用试管</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8A38DA3">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0.19</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717AB0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3C537DD">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支</w:t>
            </w:r>
          </w:p>
        </w:tc>
        <w:tc>
          <w:tcPr>
            <w:tcW w:w="86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0B974FD">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据实结算</w:t>
            </w:r>
          </w:p>
        </w:tc>
      </w:tr>
      <w:tr w14:paraId="16794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54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D19BFE5">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5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6299565">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16</w:t>
            </w:r>
          </w:p>
        </w:tc>
        <w:tc>
          <w:tcPr>
            <w:tcW w:w="984"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94BB51E">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手动可调式移液器</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98EE3F3">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550</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6AE6D99">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8235D9D">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把</w:t>
            </w:r>
          </w:p>
        </w:tc>
        <w:tc>
          <w:tcPr>
            <w:tcW w:w="86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46ABCF4">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据实结算</w:t>
            </w:r>
          </w:p>
        </w:tc>
      </w:tr>
      <w:tr w14:paraId="71062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54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792DE2C">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57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7BAC221">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17</w:t>
            </w:r>
          </w:p>
        </w:tc>
        <w:tc>
          <w:tcPr>
            <w:tcW w:w="984"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21D0E3F">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一次性使用样品杯</w:t>
            </w:r>
          </w:p>
        </w:tc>
        <w:tc>
          <w:tcPr>
            <w:tcW w:w="779"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88E2918">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0.33</w:t>
            </w:r>
          </w:p>
        </w:tc>
        <w:tc>
          <w:tcPr>
            <w:tcW w:w="62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CBD08DD">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62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BFD9FF5">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只</w:t>
            </w:r>
          </w:p>
        </w:tc>
        <w:tc>
          <w:tcPr>
            <w:tcW w:w="86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29666DD">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据实结算</w:t>
            </w:r>
          </w:p>
        </w:tc>
      </w:tr>
    </w:tbl>
    <w:p w14:paraId="6FC6C4E9">
      <w:pPr>
        <w:pStyle w:val="7"/>
        <w:spacing w:line="360" w:lineRule="auto"/>
        <w:jc w:val="left"/>
        <w:outlineLvl w:val="2"/>
        <w:rPr>
          <w:rFonts w:hint="eastAsia" w:ascii="仿宋" w:hAnsi="仿宋" w:eastAsia="仿宋" w:cs="仿宋"/>
          <w:color w:val="auto"/>
          <w:sz w:val="24"/>
          <w:highlight w:val="none"/>
          <w:u w:val="none"/>
          <w:lang w:val="en-US" w:eastAsia="zh-CN"/>
        </w:rPr>
      </w:pPr>
    </w:p>
    <w:p w14:paraId="79E70F0B">
      <w:pPr>
        <w:pStyle w:val="7"/>
        <w:spacing w:line="360" w:lineRule="auto"/>
        <w:ind w:firstLine="480"/>
        <w:jc w:val="left"/>
        <w:rPr>
          <w:rFonts w:hint="eastAsia" w:ascii="仿宋" w:hAnsi="仿宋" w:eastAsia="仿宋" w:cs="仿宋"/>
          <w:sz w:val="24"/>
          <w:szCs w:val="24"/>
        </w:rPr>
      </w:pPr>
      <w:r>
        <w:rPr>
          <w:rFonts w:hint="eastAsia" w:ascii="仿宋" w:hAnsi="仿宋" w:eastAsia="仿宋" w:cs="仿宋"/>
          <w:sz w:val="24"/>
          <w:szCs w:val="24"/>
        </w:rPr>
        <w:t>★注：</w:t>
      </w:r>
      <w:r>
        <w:rPr>
          <w:rFonts w:hint="eastAsia" w:ascii="仿宋" w:hAnsi="仿宋" w:eastAsia="仿宋" w:cs="仿宋"/>
          <w:sz w:val="24"/>
          <w:szCs w:val="24"/>
          <w:lang w:eastAsia="zh-CN"/>
        </w:rPr>
        <w:t>竞选人</w:t>
      </w:r>
      <w:r>
        <w:rPr>
          <w:rFonts w:hint="eastAsia" w:ascii="仿宋" w:hAnsi="仿宋" w:eastAsia="仿宋" w:cs="仿宋"/>
          <w:sz w:val="24"/>
          <w:szCs w:val="24"/>
        </w:rPr>
        <w:t>响应产品应当明确品牌和规格型号并指向唯一产品，不能指向唯一产品的，应通过报价表唯一产品说明栏补充说明。</w:t>
      </w:r>
    </w:p>
    <w:p w14:paraId="4FC78A64">
      <w:pPr>
        <w:pStyle w:val="7"/>
        <w:spacing w:line="360" w:lineRule="auto"/>
        <w:jc w:val="left"/>
        <w:outlineLvl w:val="1"/>
        <w:rPr>
          <w:rFonts w:hint="eastAsia" w:ascii="仿宋" w:hAnsi="仿宋" w:eastAsia="仿宋" w:cs="仿宋"/>
          <w:b/>
          <w:sz w:val="24"/>
          <w:szCs w:val="24"/>
          <w:lang w:eastAsia="zh-CN"/>
        </w:rPr>
      </w:pPr>
      <w:r>
        <w:rPr>
          <w:rFonts w:hint="eastAsia" w:ascii="仿宋" w:hAnsi="仿宋" w:eastAsia="仿宋" w:cs="仿宋"/>
          <w:b/>
          <w:sz w:val="24"/>
          <w:szCs w:val="24"/>
          <w:lang w:eastAsia="zh-CN"/>
        </w:rPr>
        <w:t>二、内容及要求</w:t>
      </w:r>
    </w:p>
    <w:tbl>
      <w:tblPr>
        <w:tblStyle w:val="5"/>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4035"/>
        <w:gridCol w:w="3702"/>
      </w:tblGrid>
      <w:tr w14:paraId="0258E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noWrap w:val="0"/>
            <w:vAlign w:val="center"/>
          </w:tcPr>
          <w:p w14:paraId="7A2B7468">
            <w:pPr>
              <w:numPr>
                <w:ilvl w:val="0"/>
                <w:numId w:val="0"/>
              </w:numPr>
              <w:spacing w:line="400" w:lineRule="exact"/>
              <w:jc w:val="center"/>
              <w:rPr>
                <w:rFonts w:hint="eastAsia" w:ascii="仿宋" w:hAnsi="仿宋" w:eastAsia="仿宋" w:cs="仿宋"/>
                <w:b/>
                <w:bCs/>
                <w:color w:val="auto"/>
                <w:sz w:val="21"/>
                <w:szCs w:val="21"/>
                <w:highlight w:val="none"/>
                <w:shd w:val="clear" w:color="auto" w:fill="auto"/>
                <w:lang w:val="en-US" w:eastAsia="zh-CN"/>
              </w:rPr>
            </w:pPr>
            <w:r>
              <w:rPr>
                <w:rFonts w:hint="eastAsia" w:ascii="仿宋" w:hAnsi="仿宋" w:eastAsia="仿宋" w:cs="仿宋"/>
                <w:b/>
                <w:bCs/>
                <w:color w:val="auto"/>
                <w:sz w:val="21"/>
                <w:szCs w:val="21"/>
                <w:highlight w:val="none"/>
                <w:shd w:val="clear" w:color="auto" w:fill="auto"/>
                <w:lang w:val="en-US" w:eastAsia="zh-CN"/>
              </w:rPr>
              <w:t>编号</w:t>
            </w:r>
          </w:p>
        </w:tc>
        <w:tc>
          <w:tcPr>
            <w:tcW w:w="4035" w:type="dxa"/>
            <w:noWrap w:val="0"/>
            <w:vAlign w:val="center"/>
          </w:tcPr>
          <w:p w14:paraId="656D67D1">
            <w:pPr>
              <w:numPr>
                <w:ilvl w:val="0"/>
                <w:numId w:val="0"/>
              </w:numPr>
              <w:spacing w:line="400" w:lineRule="exact"/>
              <w:jc w:val="center"/>
              <w:rPr>
                <w:rFonts w:hint="eastAsia" w:ascii="仿宋" w:hAnsi="仿宋" w:eastAsia="仿宋" w:cs="仿宋"/>
                <w:b/>
                <w:bCs/>
                <w:color w:val="auto"/>
                <w:sz w:val="21"/>
                <w:szCs w:val="21"/>
                <w:highlight w:val="none"/>
                <w:shd w:val="clear" w:color="auto" w:fill="auto"/>
                <w:lang w:val="en-US" w:eastAsia="zh-CN"/>
              </w:rPr>
            </w:pPr>
            <w:r>
              <w:rPr>
                <w:rFonts w:hint="eastAsia" w:ascii="仿宋" w:hAnsi="仿宋" w:eastAsia="仿宋" w:cs="仿宋"/>
                <w:b/>
                <w:bCs/>
                <w:color w:val="auto"/>
                <w:sz w:val="21"/>
                <w:szCs w:val="21"/>
                <w:highlight w:val="none"/>
                <w:shd w:val="clear" w:color="auto" w:fill="auto"/>
                <w:lang w:val="en-US" w:eastAsia="zh-CN"/>
              </w:rPr>
              <w:t>标的名称</w:t>
            </w:r>
          </w:p>
        </w:tc>
        <w:tc>
          <w:tcPr>
            <w:tcW w:w="3702" w:type="dxa"/>
            <w:noWrap w:val="0"/>
            <w:vAlign w:val="center"/>
          </w:tcPr>
          <w:p w14:paraId="5C712A05">
            <w:pPr>
              <w:numPr>
                <w:ilvl w:val="0"/>
                <w:numId w:val="0"/>
              </w:numPr>
              <w:spacing w:line="400" w:lineRule="exact"/>
              <w:jc w:val="center"/>
              <w:rPr>
                <w:rFonts w:hint="eastAsia" w:ascii="仿宋" w:hAnsi="仿宋" w:eastAsia="仿宋" w:cs="仿宋"/>
                <w:b/>
                <w:bCs/>
                <w:color w:val="auto"/>
                <w:sz w:val="21"/>
                <w:szCs w:val="21"/>
                <w:highlight w:val="none"/>
                <w:shd w:val="clear" w:color="auto" w:fill="auto"/>
                <w:lang w:val="en-US" w:eastAsia="zh-CN"/>
              </w:rPr>
            </w:pPr>
            <w:r>
              <w:rPr>
                <w:rFonts w:hint="eastAsia" w:ascii="仿宋" w:hAnsi="仿宋" w:eastAsia="仿宋" w:cs="仿宋"/>
                <w:b/>
                <w:bCs/>
                <w:color w:val="auto"/>
                <w:sz w:val="21"/>
                <w:szCs w:val="21"/>
                <w:highlight w:val="none"/>
                <w:shd w:val="clear" w:color="auto" w:fill="auto"/>
                <w:lang w:val="en-US" w:eastAsia="zh-CN"/>
              </w:rPr>
              <w:t>预期使用的规格型号或配置等情况</w:t>
            </w:r>
          </w:p>
        </w:tc>
      </w:tr>
      <w:tr w14:paraId="33B8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noWrap w:val="0"/>
            <w:vAlign w:val="center"/>
          </w:tcPr>
          <w:p w14:paraId="251464E4">
            <w:pPr>
              <w:keepNext w:val="0"/>
              <w:keepLines w:val="0"/>
              <w:widowControl/>
              <w:suppressLineNumbers w:val="0"/>
              <w:jc w:val="center"/>
              <w:textAlignment w:val="center"/>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4035" w:type="dxa"/>
            <w:noWrap w:val="0"/>
            <w:vAlign w:val="center"/>
          </w:tcPr>
          <w:p w14:paraId="19C81232">
            <w:pPr>
              <w:keepNext w:val="0"/>
              <w:keepLines w:val="0"/>
              <w:widowControl/>
              <w:suppressLineNumbers w:val="0"/>
              <w:jc w:val="center"/>
              <w:textAlignment w:val="center"/>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一次性使用吸头</w:t>
            </w:r>
          </w:p>
        </w:tc>
        <w:tc>
          <w:tcPr>
            <w:tcW w:w="3702" w:type="dxa"/>
            <w:noWrap w:val="0"/>
            <w:vAlign w:val="center"/>
          </w:tcPr>
          <w:p w14:paraId="00C22BB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6*52，0.5-200ul</w:t>
            </w:r>
          </w:p>
        </w:tc>
      </w:tr>
      <w:tr w14:paraId="45073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39" w:type="dxa"/>
            <w:noWrap w:val="0"/>
            <w:vAlign w:val="center"/>
          </w:tcPr>
          <w:p w14:paraId="60A2BC87">
            <w:pPr>
              <w:keepNext w:val="0"/>
              <w:keepLines w:val="0"/>
              <w:widowControl/>
              <w:suppressLineNumbers w:val="0"/>
              <w:jc w:val="center"/>
              <w:textAlignment w:val="center"/>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2</w:t>
            </w:r>
          </w:p>
        </w:tc>
        <w:tc>
          <w:tcPr>
            <w:tcW w:w="4035" w:type="dxa"/>
            <w:noWrap w:val="0"/>
            <w:vAlign w:val="center"/>
          </w:tcPr>
          <w:p w14:paraId="5C746BE9">
            <w:pPr>
              <w:keepNext w:val="0"/>
              <w:keepLines w:val="0"/>
              <w:widowControl/>
              <w:suppressLineNumbers w:val="0"/>
              <w:jc w:val="center"/>
              <w:textAlignment w:val="center"/>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一次性使用吸头</w:t>
            </w:r>
          </w:p>
        </w:tc>
        <w:tc>
          <w:tcPr>
            <w:tcW w:w="3702" w:type="dxa"/>
            <w:noWrap w:val="0"/>
            <w:vAlign w:val="center"/>
          </w:tcPr>
          <w:p w14:paraId="281B4DA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8*71，1000ul</w:t>
            </w:r>
          </w:p>
        </w:tc>
      </w:tr>
      <w:tr w14:paraId="7EEAC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39" w:type="dxa"/>
            <w:noWrap w:val="0"/>
            <w:vAlign w:val="center"/>
          </w:tcPr>
          <w:p w14:paraId="5DEE4F0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4035" w:type="dxa"/>
            <w:noWrap w:val="0"/>
            <w:vAlign w:val="center"/>
          </w:tcPr>
          <w:p w14:paraId="1C34B59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一次性使用滤芯吸头</w:t>
            </w:r>
          </w:p>
        </w:tc>
        <w:tc>
          <w:tcPr>
            <w:tcW w:w="3702" w:type="dxa"/>
            <w:noWrap w:val="0"/>
            <w:vAlign w:val="center"/>
          </w:tcPr>
          <w:p w14:paraId="41FFA84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6*52</w:t>
            </w:r>
          </w:p>
        </w:tc>
      </w:tr>
      <w:tr w14:paraId="43F0C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39" w:type="dxa"/>
            <w:noWrap w:val="0"/>
            <w:vAlign w:val="center"/>
          </w:tcPr>
          <w:p w14:paraId="17F924E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4035" w:type="dxa"/>
            <w:noWrap w:val="0"/>
            <w:vAlign w:val="center"/>
          </w:tcPr>
          <w:p w14:paraId="54A35C1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一次性使用滤芯吸头</w:t>
            </w:r>
          </w:p>
        </w:tc>
        <w:tc>
          <w:tcPr>
            <w:tcW w:w="3702" w:type="dxa"/>
            <w:noWrap w:val="0"/>
            <w:vAlign w:val="center"/>
          </w:tcPr>
          <w:p w14:paraId="63D4375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8*71</w:t>
            </w:r>
          </w:p>
        </w:tc>
      </w:tr>
      <w:tr w14:paraId="6578D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39" w:type="dxa"/>
            <w:noWrap w:val="0"/>
            <w:vAlign w:val="center"/>
          </w:tcPr>
          <w:p w14:paraId="47594DF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c>
          <w:tcPr>
            <w:tcW w:w="4035" w:type="dxa"/>
            <w:noWrap w:val="0"/>
            <w:vAlign w:val="center"/>
          </w:tcPr>
          <w:p w14:paraId="70A0801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一次性使用微量采血吸管</w:t>
            </w:r>
          </w:p>
        </w:tc>
        <w:tc>
          <w:tcPr>
            <w:tcW w:w="3702" w:type="dxa"/>
            <w:noWrap w:val="0"/>
            <w:vAlign w:val="center"/>
          </w:tcPr>
          <w:p w14:paraId="7089A7D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40ul，400支/筒</w:t>
            </w:r>
          </w:p>
        </w:tc>
      </w:tr>
      <w:tr w14:paraId="1FE47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39" w:type="dxa"/>
            <w:noWrap w:val="0"/>
            <w:vAlign w:val="center"/>
          </w:tcPr>
          <w:p w14:paraId="28C04DF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4035" w:type="dxa"/>
            <w:noWrap w:val="0"/>
            <w:vAlign w:val="center"/>
          </w:tcPr>
          <w:p w14:paraId="45B4717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一次性使用离心管</w:t>
            </w:r>
          </w:p>
        </w:tc>
        <w:tc>
          <w:tcPr>
            <w:tcW w:w="3702" w:type="dxa"/>
            <w:noWrap w:val="0"/>
            <w:vAlign w:val="center"/>
          </w:tcPr>
          <w:p w14:paraId="38AD956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1.5ml</w:t>
            </w:r>
          </w:p>
        </w:tc>
      </w:tr>
      <w:tr w14:paraId="3D827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39" w:type="dxa"/>
            <w:noWrap w:val="0"/>
            <w:vAlign w:val="center"/>
          </w:tcPr>
          <w:p w14:paraId="79C267F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7</w:t>
            </w:r>
          </w:p>
        </w:tc>
        <w:tc>
          <w:tcPr>
            <w:tcW w:w="4035" w:type="dxa"/>
            <w:noWrap w:val="0"/>
            <w:vAlign w:val="center"/>
          </w:tcPr>
          <w:p w14:paraId="60A6451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一次性使用抗凝管</w:t>
            </w:r>
          </w:p>
        </w:tc>
        <w:tc>
          <w:tcPr>
            <w:tcW w:w="3702" w:type="dxa"/>
            <w:noWrap w:val="0"/>
            <w:vAlign w:val="center"/>
          </w:tcPr>
          <w:p w14:paraId="343B973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1.5ml</w:t>
            </w:r>
          </w:p>
        </w:tc>
      </w:tr>
      <w:tr w14:paraId="3F70B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39" w:type="dxa"/>
            <w:noWrap w:val="0"/>
            <w:vAlign w:val="center"/>
          </w:tcPr>
          <w:p w14:paraId="1FE8CEF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8</w:t>
            </w:r>
          </w:p>
        </w:tc>
        <w:tc>
          <w:tcPr>
            <w:tcW w:w="4035" w:type="dxa"/>
            <w:noWrap w:val="0"/>
            <w:vAlign w:val="center"/>
          </w:tcPr>
          <w:p w14:paraId="5389AAE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试管架</w:t>
            </w:r>
          </w:p>
        </w:tc>
        <w:tc>
          <w:tcPr>
            <w:tcW w:w="3702" w:type="dxa"/>
            <w:noWrap w:val="0"/>
            <w:vAlign w:val="center"/>
          </w:tcPr>
          <w:p w14:paraId="0F91997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10ml、96孔</w:t>
            </w:r>
          </w:p>
        </w:tc>
      </w:tr>
      <w:tr w14:paraId="4888C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39" w:type="dxa"/>
            <w:noWrap w:val="0"/>
            <w:vAlign w:val="center"/>
          </w:tcPr>
          <w:p w14:paraId="5976788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9</w:t>
            </w:r>
          </w:p>
        </w:tc>
        <w:tc>
          <w:tcPr>
            <w:tcW w:w="4035" w:type="dxa"/>
            <w:noWrap w:val="0"/>
            <w:vAlign w:val="center"/>
          </w:tcPr>
          <w:p w14:paraId="31920DD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香柏油</w:t>
            </w:r>
          </w:p>
        </w:tc>
        <w:tc>
          <w:tcPr>
            <w:tcW w:w="3702" w:type="dxa"/>
            <w:noWrap w:val="0"/>
            <w:vAlign w:val="center"/>
          </w:tcPr>
          <w:p w14:paraId="7A96C52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25ml</w:t>
            </w:r>
          </w:p>
        </w:tc>
      </w:tr>
      <w:tr w14:paraId="45262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39" w:type="dxa"/>
            <w:noWrap w:val="0"/>
            <w:vAlign w:val="center"/>
          </w:tcPr>
          <w:p w14:paraId="182239C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4035" w:type="dxa"/>
            <w:noWrap w:val="0"/>
            <w:vAlign w:val="center"/>
          </w:tcPr>
          <w:p w14:paraId="2BE6833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管联配平盖</w:t>
            </w:r>
          </w:p>
        </w:tc>
        <w:tc>
          <w:tcPr>
            <w:tcW w:w="3702" w:type="dxa"/>
            <w:noWrap w:val="0"/>
            <w:vAlign w:val="center"/>
          </w:tcPr>
          <w:p w14:paraId="6D75B9F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8联配平盖</w:t>
            </w:r>
          </w:p>
        </w:tc>
      </w:tr>
      <w:tr w14:paraId="2D6A0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39" w:type="dxa"/>
            <w:noWrap w:val="0"/>
            <w:vAlign w:val="center"/>
          </w:tcPr>
          <w:p w14:paraId="1ECE6AD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11</w:t>
            </w:r>
          </w:p>
        </w:tc>
        <w:tc>
          <w:tcPr>
            <w:tcW w:w="4035" w:type="dxa"/>
            <w:noWrap w:val="0"/>
            <w:vAlign w:val="center"/>
          </w:tcPr>
          <w:p w14:paraId="5B73986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高级擦镜纸</w:t>
            </w:r>
          </w:p>
        </w:tc>
        <w:tc>
          <w:tcPr>
            <w:tcW w:w="3702" w:type="dxa"/>
            <w:noWrap w:val="0"/>
            <w:vAlign w:val="center"/>
          </w:tcPr>
          <w:p w14:paraId="123137E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10*15cm</w:t>
            </w:r>
          </w:p>
        </w:tc>
      </w:tr>
      <w:tr w14:paraId="2B1E3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39" w:type="dxa"/>
            <w:noWrap w:val="0"/>
            <w:vAlign w:val="center"/>
          </w:tcPr>
          <w:p w14:paraId="53535FC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12</w:t>
            </w:r>
          </w:p>
        </w:tc>
        <w:tc>
          <w:tcPr>
            <w:tcW w:w="4035" w:type="dxa"/>
            <w:noWrap w:val="0"/>
            <w:vAlign w:val="center"/>
          </w:tcPr>
          <w:p w14:paraId="7013E74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一次性使用试管塞</w:t>
            </w:r>
          </w:p>
        </w:tc>
        <w:tc>
          <w:tcPr>
            <w:tcW w:w="3702" w:type="dxa"/>
            <w:noWrap w:val="0"/>
            <w:vAlign w:val="center"/>
          </w:tcPr>
          <w:p w14:paraId="4069218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翼型Φ13，2000支/袋</w:t>
            </w:r>
          </w:p>
        </w:tc>
      </w:tr>
      <w:tr w14:paraId="776C7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39" w:type="dxa"/>
            <w:noWrap w:val="0"/>
            <w:vAlign w:val="center"/>
          </w:tcPr>
          <w:p w14:paraId="5B2B9E0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13</w:t>
            </w:r>
          </w:p>
        </w:tc>
        <w:tc>
          <w:tcPr>
            <w:tcW w:w="4035" w:type="dxa"/>
            <w:noWrap w:val="0"/>
            <w:vAlign w:val="center"/>
          </w:tcPr>
          <w:p w14:paraId="30EA556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一次性使用试管</w:t>
            </w:r>
          </w:p>
        </w:tc>
        <w:tc>
          <w:tcPr>
            <w:tcW w:w="3702" w:type="dxa"/>
            <w:noWrap w:val="0"/>
            <w:vAlign w:val="center"/>
          </w:tcPr>
          <w:p w14:paraId="2D94D1A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12*75</w:t>
            </w:r>
          </w:p>
        </w:tc>
      </w:tr>
      <w:tr w14:paraId="43CC1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39" w:type="dxa"/>
            <w:noWrap w:val="0"/>
            <w:vAlign w:val="center"/>
          </w:tcPr>
          <w:p w14:paraId="23497C0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14</w:t>
            </w:r>
          </w:p>
        </w:tc>
        <w:tc>
          <w:tcPr>
            <w:tcW w:w="4035" w:type="dxa"/>
            <w:noWrap w:val="0"/>
            <w:vAlign w:val="center"/>
          </w:tcPr>
          <w:p w14:paraId="4920B79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一次性使用试管</w:t>
            </w:r>
          </w:p>
        </w:tc>
        <w:tc>
          <w:tcPr>
            <w:tcW w:w="3702" w:type="dxa"/>
            <w:noWrap w:val="0"/>
            <w:vAlign w:val="center"/>
          </w:tcPr>
          <w:p w14:paraId="5575ECC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圆头15*100</w:t>
            </w:r>
          </w:p>
        </w:tc>
      </w:tr>
      <w:tr w14:paraId="0B87B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39" w:type="dxa"/>
            <w:noWrap w:val="0"/>
            <w:vAlign w:val="center"/>
          </w:tcPr>
          <w:p w14:paraId="0DF866D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15</w:t>
            </w:r>
          </w:p>
        </w:tc>
        <w:tc>
          <w:tcPr>
            <w:tcW w:w="4035" w:type="dxa"/>
            <w:noWrap w:val="0"/>
            <w:vAlign w:val="center"/>
          </w:tcPr>
          <w:p w14:paraId="0E75729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一次性使用试管</w:t>
            </w:r>
          </w:p>
        </w:tc>
        <w:tc>
          <w:tcPr>
            <w:tcW w:w="3702" w:type="dxa"/>
            <w:noWrap w:val="0"/>
            <w:vAlign w:val="center"/>
          </w:tcPr>
          <w:p w14:paraId="7C06432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12*100</w:t>
            </w:r>
          </w:p>
        </w:tc>
      </w:tr>
      <w:tr w14:paraId="141FF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39" w:type="dxa"/>
            <w:noWrap w:val="0"/>
            <w:vAlign w:val="center"/>
          </w:tcPr>
          <w:p w14:paraId="3D0F95B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16</w:t>
            </w:r>
          </w:p>
        </w:tc>
        <w:tc>
          <w:tcPr>
            <w:tcW w:w="4035" w:type="dxa"/>
            <w:noWrap w:val="0"/>
            <w:vAlign w:val="center"/>
          </w:tcPr>
          <w:p w14:paraId="05854C0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手动可调式移液器</w:t>
            </w:r>
          </w:p>
        </w:tc>
        <w:tc>
          <w:tcPr>
            <w:tcW w:w="3702" w:type="dxa"/>
            <w:noWrap w:val="0"/>
            <w:vAlign w:val="center"/>
          </w:tcPr>
          <w:p w14:paraId="2E130CC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0.5-100UL、20-200UL、1000ul</w:t>
            </w:r>
          </w:p>
        </w:tc>
      </w:tr>
      <w:tr w14:paraId="29DC5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39" w:type="dxa"/>
            <w:noWrap w:val="0"/>
            <w:vAlign w:val="center"/>
          </w:tcPr>
          <w:p w14:paraId="2115ABF2">
            <w:pPr>
              <w:keepNext w:val="0"/>
              <w:keepLines w:val="0"/>
              <w:widowControl/>
              <w:suppressLineNumbers w:val="0"/>
              <w:jc w:val="center"/>
              <w:textAlignment w:val="center"/>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17</w:t>
            </w:r>
          </w:p>
        </w:tc>
        <w:tc>
          <w:tcPr>
            <w:tcW w:w="4035" w:type="dxa"/>
            <w:noWrap w:val="0"/>
            <w:vAlign w:val="center"/>
          </w:tcPr>
          <w:p w14:paraId="69BA6FA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一次性使用样品杯</w:t>
            </w:r>
          </w:p>
        </w:tc>
        <w:tc>
          <w:tcPr>
            <w:tcW w:w="3702" w:type="dxa"/>
            <w:noWrap w:val="0"/>
            <w:vAlign w:val="center"/>
          </w:tcPr>
          <w:p w14:paraId="210E40B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16*38mm</w:t>
            </w:r>
          </w:p>
        </w:tc>
      </w:tr>
    </w:tbl>
    <w:p w14:paraId="09EEB358">
      <w:pPr>
        <w:pStyle w:val="7"/>
        <w:spacing w:line="360" w:lineRule="auto"/>
        <w:jc w:val="left"/>
        <w:outlineLvl w:val="1"/>
        <w:rPr>
          <w:rFonts w:hint="eastAsia" w:ascii="仿宋" w:hAnsi="仿宋" w:eastAsia="仿宋" w:cs="仿宋"/>
          <w:b/>
          <w:bCs/>
          <w:i w:val="0"/>
          <w:iCs w:val="0"/>
          <w:color w:val="FF0000"/>
          <w:kern w:val="0"/>
          <w:sz w:val="24"/>
          <w:szCs w:val="24"/>
          <w:u w:val="none"/>
          <w:lang w:val="en-US" w:eastAsia="zh-CN" w:bidi="ar"/>
        </w:rPr>
      </w:pPr>
    </w:p>
    <w:p w14:paraId="5C143DCF">
      <w:pPr>
        <w:pStyle w:val="7"/>
        <w:spacing w:line="360" w:lineRule="auto"/>
        <w:jc w:val="left"/>
        <w:outlineLvl w:val="1"/>
        <w:rPr>
          <w:rFonts w:hint="eastAsia" w:ascii="仿宋" w:hAnsi="仿宋" w:eastAsia="仿宋" w:cs="仿宋"/>
          <w:b/>
          <w:bCs/>
          <w:i w:val="0"/>
          <w:iCs w:val="0"/>
          <w:color w:val="FF0000"/>
          <w:kern w:val="0"/>
          <w:sz w:val="24"/>
          <w:szCs w:val="24"/>
          <w:u w:val="none"/>
          <w:lang w:val="en-US" w:eastAsia="zh-CN" w:bidi="ar"/>
        </w:rPr>
      </w:pPr>
    </w:p>
    <w:p w14:paraId="78A0E740">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★三、样品要求</w:t>
      </w:r>
    </w:p>
    <w:p w14:paraId="75E221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sz w:val="24"/>
          <w:szCs w:val="24"/>
          <w:highlight w:val="yellow"/>
          <w:lang w:val="en-US" w:eastAsia="zh-CN"/>
        </w:rPr>
      </w:pPr>
      <w:r>
        <w:rPr>
          <w:rFonts w:hint="eastAsia" w:ascii="仿宋" w:hAnsi="仿宋" w:eastAsia="仿宋" w:cs="仿宋"/>
          <w:b w:val="0"/>
          <w:bCs/>
          <w:sz w:val="24"/>
          <w:szCs w:val="24"/>
          <w:lang w:val="en-US" w:eastAsia="zh-CN"/>
        </w:rPr>
        <w:t>1.必须提供样品，以供评审专家现场评审。（如响应的同一标的存在材质相同的多个型号，可提供其中一样作为样品）</w:t>
      </w:r>
      <w:r>
        <w:rPr>
          <w:rFonts w:hint="eastAsia" w:ascii="仿宋" w:hAnsi="仿宋" w:eastAsia="仿宋" w:cs="仿宋"/>
          <w:b w:val="0"/>
          <w:bCs/>
          <w:sz w:val="24"/>
          <w:szCs w:val="24"/>
          <w:highlight w:val="yellow"/>
          <w:lang w:val="en-US" w:eastAsia="zh-CN"/>
        </w:rPr>
        <w:t>【如样品和标的产品有同一材质的，竞选人可提供</w:t>
      </w:r>
      <w:r>
        <w:rPr>
          <w:rFonts w:hint="eastAsia" w:ascii="仿宋" w:hAnsi="仿宋" w:eastAsia="仿宋" w:cs="仿宋"/>
          <w:b/>
          <w:bCs w:val="0"/>
          <w:color w:val="FF0000"/>
          <w:sz w:val="24"/>
          <w:szCs w:val="24"/>
          <w:highlight w:val="yellow"/>
          <w:lang w:val="en-US" w:eastAsia="zh-CN"/>
        </w:rPr>
        <w:t>承诺函</w:t>
      </w:r>
      <w:r>
        <w:rPr>
          <w:rFonts w:hint="eastAsia" w:ascii="仿宋" w:hAnsi="仿宋" w:eastAsia="仿宋" w:cs="仿宋"/>
          <w:b w:val="0"/>
          <w:bCs/>
          <w:sz w:val="24"/>
          <w:szCs w:val="24"/>
          <w:highlight w:val="yellow"/>
          <w:lang w:val="en-US" w:eastAsia="zh-CN"/>
        </w:rPr>
        <w:t>证明标的产品与样品为同一材质，则无需提供所有标的产品作为样品。】</w:t>
      </w:r>
    </w:p>
    <w:p w14:paraId="1C7762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2.提交的样品不符合实际需求或存在原理错误则视为无效响应。</w:t>
      </w:r>
    </w:p>
    <w:p w14:paraId="120732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3.本项目投标人提供的样品，应与该投标人响应文件保持一致（具体参考《医疗器械说明书和标签管理规定》）</w:t>
      </w:r>
    </w:p>
    <w:p w14:paraId="2965D1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sz w:val="24"/>
          <w:szCs w:val="24"/>
          <w:highlight w:val="yellow"/>
          <w:lang w:val="en-US" w:eastAsia="zh-CN"/>
        </w:rPr>
      </w:pPr>
      <w:r>
        <w:rPr>
          <w:rFonts w:hint="eastAsia" w:ascii="仿宋" w:hAnsi="仿宋" w:eastAsia="仿宋" w:cs="仿宋"/>
          <w:b w:val="0"/>
          <w:bCs/>
          <w:sz w:val="24"/>
          <w:szCs w:val="24"/>
          <w:highlight w:val="yellow"/>
          <w:lang w:val="en-US" w:eastAsia="zh-CN"/>
        </w:rPr>
        <w:t>注：样品包装需完整，样品评审时将由采购代理机构拍照留存，作为后期验收的依据。</w:t>
      </w:r>
    </w:p>
    <w:p w14:paraId="09E5F14D">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★四、商务要求：</w:t>
      </w:r>
    </w:p>
    <w:p w14:paraId="4BC9C0D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1.交货期及地点</w:t>
      </w:r>
    </w:p>
    <w:p w14:paraId="728A4BF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（1）交货期：每次配送时间必须严格按照采购人配送通知执行，中标人应于收到通知后2小时内响应。急救耗材的配送时间不应超过4小时，一般耗材原则上的配送时间不应超过2个工作日。</w:t>
      </w:r>
    </w:p>
    <w:p w14:paraId="30B9CF6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sz w:val="20"/>
          <w:szCs w:val="22"/>
          <w:lang w:val="en-US" w:eastAsia="zh-CN"/>
        </w:rPr>
      </w:pPr>
      <w:r>
        <w:rPr>
          <w:rFonts w:hint="eastAsia" w:ascii="仿宋" w:hAnsi="仿宋" w:eastAsia="仿宋" w:cs="仿宋"/>
          <w:color w:val="000000"/>
          <w:sz w:val="22"/>
          <w:szCs w:val="22"/>
          <w:lang w:val="en-US" w:eastAsia="zh-CN"/>
        </w:rPr>
        <w:t>（2）交货地点：内江市第一人民医院指定地点。</w:t>
      </w:r>
    </w:p>
    <w:p w14:paraId="1565960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2.付款方法和条件</w:t>
      </w:r>
    </w:p>
    <w:p w14:paraId="2FD80D0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w:t>
      </w:r>
      <w:r>
        <w:rPr>
          <w:rFonts w:hint="default" w:ascii="仿宋" w:hAnsi="仿宋" w:eastAsia="仿宋" w:cs="仿宋"/>
          <w:color w:val="000000"/>
          <w:sz w:val="22"/>
          <w:szCs w:val="22"/>
          <w:lang w:val="en-US" w:eastAsia="zh-CN"/>
        </w:rPr>
        <w:t>结算方式：</w:t>
      </w:r>
      <w:r>
        <w:rPr>
          <w:rFonts w:hint="eastAsia" w:ascii="仿宋" w:hAnsi="仿宋" w:eastAsia="仿宋" w:cs="仿宋"/>
          <w:color w:val="000000"/>
          <w:sz w:val="22"/>
          <w:szCs w:val="22"/>
          <w:lang w:val="en-US" w:eastAsia="zh-CN"/>
        </w:rPr>
        <w:t>双方同意以采购人财务制度规定的付款时间及付款要求进行结算，投标人已完全了解并清楚采购人的财务制度，投标人对采购人财务制度规定的付款要求及付款时间不持异议</w:t>
      </w:r>
      <w:r>
        <w:rPr>
          <w:rFonts w:hint="default" w:ascii="仿宋" w:hAnsi="仿宋" w:eastAsia="仿宋" w:cs="仿宋"/>
          <w:color w:val="000000"/>
          <w:sz w:val="22"/>
          <w:szCs w:val="22"/>
          <w:lang w:val="en-US" w:eastAsia="zh-CN"/>
        </w:rPr>
        <w:t>。</w:t>
      </w:r>
    </w:p>
    <w:p w14:paraId="57AE448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w:t>
      </w:r>
      <w:r>
        <w:rPr>
          <w:rFonts w:hint="default" w:ascii="仿宋" w:hAnsi="仿宋" w:eastAsia="仿宋" w:cs="仿宋"/>
          <w:color w:val="000000"/>
          <w:sz w:val="22"/>
          <w:szCs w:val="22"/>
          <w:lang w:val="en-US" w:eastAsia="zh-CN"/>
        </w:rPr>
        <w:t>成交价格包含成本、运输、包装、培训、配送、伴随服务、税费及其他附加费用</w:t>
      </w:r>
      <w:r>
        <w:rPr>
          <w:rFonts w:hint="eastAsia" w:ascii="仿宋" w:hAnsi="仿宋" w:eastAsia="仿宋" w:cs="仿宋"/>
          <w:color w:val="000000"/>
          <w:sz w:val="22"/>
          <w:szCs w:val="22"/>
          <w:lang w:val="en-US" w:eastAsia="zh-Hans"/>
        </w:rPr>
        <w:t>等一切费用</w:t>
      </w:r>
      <w:r>
        <w:rPr>
          <w:rFonts w:hint="default" w:ascii="仿宋" w:hAnsi="仿宋" w:eastAsia="仿宋" w:cs="仿宋"/>
          <w:color w:val="000000"/>
          <w:sz w:val="22"/>
          <w:szCs w:val="22"/>
          <w:lang w:val="en-US" w:eastAsia="zh-CN"/>
        </w:rPr>
        <w:t>。</w:t>
      </w:r>
    </w:p>
    <w:p w14:paraId="0EB03BE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3.若本项目中限定了标的数量或金额，中标人应严格按照响应内容执行，采购人有权拒绝支付超出响应范围</w:t>
      </w:r>
      <w:r>
        <w:rPr>
          <w:rFonts w:hint="eastAsia" w:ascii="仿宋" w:hAnsi="仿宋" w:eastAsia="仿宋" w:cs="仿宋"/>
          <w:color w:val="000000"/>
          <w:sz w:val="22"/>
          <w:szCs w:val="22"/>
          <w:lang w:val="en-US" w:eastAsia="zh-Hans"/>
        </w:rPr>
        <w:t>的</w:t>
      </w:r>
      <w:r>
        <w:rPr>
          <w:rFonts w:hint="eastAsia" w:ascii="仿宋" w:hAnsi="仿宋" w:eastAsia="仿宋" w:cs="仿宋"/>
          <w:color w:val="000000"/>
          <w:sz w:val="22"/>
          <w:szCs w:val="22"/>
          <w:lang w:val="en-US" w:eastAsia="zh-CN"/>
        </w:rPr>
        <w:t>任何内容。</w:t>
      </w:r>
    </w:p>
    <w:p w14:paraId="30240EF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3.质量保证</w:t>
      </w:r>
    </w:p>
    <w:p w14:paraId="0B84889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（1）中标人须提供原厂生产的未曾使用过的、全新的合格的货品（含配套配件等），表面无划伤、无破损痕迹，且权属清楚，不得侵害他人的合法权利。</w:t>
      </w:r>
    </w:p>
    <w:p w14:paraId="234BE58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245B02D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（3）中标人提供货品的设计技术专利、外形专利等均应符合我国有关法律法规及行业标准，凡因以上问题与第三方发生的任何纠纷，由中标人承担全部责任，</w:t>
      </w:r>
      <w:r>
        <w:rPr>
          <w:rFonts w:hint="eastAsia" w:ascii="仿宋" w:hAnsi="仿宋" w:eastAsia="仿宋" w:cs="仿宋"/>
          <w:color w:val="000000"/>
          <w:sz w:val="22"/>
          <w:szCs w:val="22"/>
          <w:lang w:val="en-US" w:eastAsia="zh-Hans"/>
        </w:rPr>
        <w:t>中标人还应</w:t>
      </w:r>
      <w:r>
        <w:rPr>
          <w:rFonts w:hint="eastAsia" w:ascii="仿宋" w:hAnsi="仿宋" w:eastAsia="仿宋" w:cs="仿宋"/>
          <w:color w:val="000000"/>
          <w:sz w:val="22"/>
          <w:szCs w:val="22"/>
        </w:rPr>
        <w:t>负责赔偿</w:t>
      </w:r>
      <w:r>
        <w:rPr>
          <w:rFonts w:hint="eastAsia" w:ascii="仿宋" w:hAnsi="仿宋" w:eastAsia="仿宋" w:cs="仿宋"/>
          <w:color w:val="000000"/>
          <w:sz w:val="22"/>
          <w:szCs w:val="22"/>
          <w:lang w:val="en-US" w:eastAsia="zh-CN"/>
        </w:rPr>
        <w:t>采购人</w:t>
      </w:r>
      <w:r>
        <w:rPr>
          <w:rFonts w:hint="eastAsia" w:ascii="仿宋" w:hAnsi="仿宋" w:eastAsia="仿宋" w:cs="仿宋"/>
          <w:color w:val="000000"/>
          <w:sz w:val="22"/>
          <w:szCs w:val="22"/>
        </w:rPr>
        <w:t>由此而遭受的全部损失。</w:t>
      </w:r>
    </w:p>
    <w:p w14:paraId="374CE51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（4）中标人保证其提供货品的安全可靠性。在正常使用下不应对使用者造成任何人身伤害，如因产品质量或标示不明确而对使用者造成损失的，由中标人承担相应责任。</w:t>
      </w:r>
    </w:p>
    <w:p w14:paraId="7847A7A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2B50C99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（6）中标人保证所供耗材有效期不低于1年，自通过最终验收之日起，确保采购人在使用耗材的过程中安全、有效。</w:t>
      </w:r>
    </w:p>
    <w:p w14:paraId="3C8F525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4.验收</w:t>
      </w:r>
    </w:p>
    <w:p w14:paraId="37C759B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14:paraId="0E6C697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7BA963D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1528355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（4）其他未尽事宜严格按照《财政部关于进一步加强政府采购需求和履约验收管理的指导意见》（财库〔2016〕205号）的要求进行。</w:t>
      </w:r>
    </w:p>
    <w:p w14:paraId="7DF8997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5.售后服务</w:t>
      </w:r>
    </w:p>
    <w:p w14:paraId="6643FF7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要求中标人必须严格按照招标文件要求和投标文件中的承诺提供配送服务。如果配送的耗材规格、包装等信息与中标产品的规格、包装等信息不一致并不同意更换的，或配送的耗材和中标产品不一致的，采购人有权终止合同。</w:t>
      </w:r>
    </w:p>
    <w:p w14:paraId="177251D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8"/>
          <w:szCs w:val="28"/>
          <w:highlight w:val="yellow"/>
          <w:lang w:val="en-US" w:eastAsia="zh-CN"/>
        </w:rPr>
      </w:pPr>
      <w:r>
        <w:rPr>
          <w:rFonts w:hint="eastAsia" w:ascii="仿宋" w:hAnsi="仿宋" w:eastAsia="仿宋" w:cs="仿宋"/>
          <w:color w:val="000000"/>
          <w:sz w:val="22"/>
          <w:szCs w:val="22"/>
          <w:lang w:val="en-US" w:eastAsia="zh-CN"/>
        </w:rPr>
        <w:t>（2）要求中标人指派专人负责与采购人联系售后服务事宜；</w:t>
      </w:r>
      <w:r>
        <w:rPr>
          <w:rFonts w:hint="eastAsia" w:ascii="仿宋" w:hAnsi="仿宋" w:eastAsia="仿宋" w:cs="仿宋"/>
          <w:b/>
          <w:bCs/>
          <w:color w:val="000000"/>
          <w:sz w:val="28"/>
          <w:szCs w:val="28"/>
          <w:highlight w:val="yellow"/>
          <w:lang w:val="en-US" w:eastAsia="zh-CN"/>
        </w:rPr>
        <w:t>在投标文件中列明售后联系人及联系电话。</w:t>
      </w:r>
    </w:p>
    <w:p w14:paraId="4C3F1EF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要求中标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31D5415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（4）耗材临近失效期，采购人提前三个月向中标人提出更换，中标人须在耗材失效前一个月更换完毕，不得以任何理由进行推诿。</w:t>
      </w:r>
    </w:p>
    <w:p w14:paraId="67CD796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（5）中标人必须随货提供其具备医疗器械经营企业的有关合法有效的手续（包括但不限于）</w:t>
      </w:r>
      <w:r>
        <w:rPr>
          <w:rFonts w:hint="eastAsia" w:ascii="仿宋" w:hAnsi="仿宋" w:eastAsia="仿宋" w:cs="仿宋"/>
          <w:b/>
          <w:bCs/>
          <w:color w:val="000000"/>
          <w:sz w:val="22"/>
          <w:szCs w:val="22"/>
          <w:lang w:val="en-US" w:eastAsia="zh-CN"/>
        </w:rPr>
        <w:t>（如涉及医疗器械时提供）</w:t>
      </w:r>
      <w:r>
        <w:rPr>
          <w:rFonts w:hint="eastAsia" w:ascii="仿宋" w:hAnsi="仿宋" w:eastAsia="仿宋" w:cs="仿宋"/>
          <w:color w:val="000000"/>
          <w:sz w:val="22"/>
          <w:szCs w:val="22"/>
          <w:lang w:val="en-US" w:eastAsia="zh-CN"/>
        </w:rPr>
        <w:t>：</w:t>
      </w:r>
    </w:p>
    <w:p w14:paraId="4B70B16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1).产品所涉及逐级授权经销商的医疗器械生产（经营）许可证或生产（经营）企业备案表；</w:t>
      </w:r>
    </w:p>
    <w:p w14:paraId="25D4582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2).医疗器械产品注册证或备案凭证；</w:t>
      </w:r>
    </w:p>
    <w:p w14:paraId="1BA4365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3).医疗器械生产企业许可证；</w:t>
      </w:r>
    </w:p>
    <w:p w14:paraId="69D405E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4).经销商获得的委托授权书（逐级）；</w:t>
      </w:r>
    </w:p>
    <w:p w14:paraId="2C476CD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5).产品所涉及逐级授权经销商的企业法人营业执照。</w:t>
      </w:r>
    </w:p>
    <w:p w14:paraId="62D65B2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6).采购人要求提供的相关资料。</w:t>
      </w:r>
    </w:p>
    <w:p w14:paraId="5D4AD94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标人或厂家原因无法按上述要求执行的，则采购人可以解除与中标人在成交合同中对该产品的采购相关约定。</w:t>
      </w:r>
    </w:p>
    <w:p w14:paraId="41E3569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 xml:space="preserve">6.包装和运输 </w:t>
      </w:r>
    </w:p>
    <w:p w14:paraId="0F01B3D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 xml:space="preserve">（1）中标人须严格按照《商品包装政府采购需求标准(试行)》、《快递包装政府采购需 求标准(试行)》(财办库〔2020〕123 号)的要求进行产品及相关快递服务的包装。 </w:t>
      </w:r>
    </w:p>
    <w:p w14:paraId="300173B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 xml:space="preserve">（2）中标人应当按照约定的方式交付标的物。对于包装方式没有约定或者约定不明确的，应当按照通用的方式包装；没有通用方式的，应当采取足以保护标的物且有利于节约资源，保护生态环境的包装方式。 </w:t>
      </w:r>
    </w:p>
    <w:p w14:paraId="79FC841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w:hAnsi="Times New Roman" w:eastAsia="仿宋" w:cs="Times New Roman"/>
          <w:b/>
          <w:bCs/>
          <w:color w:val="auto"/>
          <w:sz w:val="24"/>
          <w:szCs w:val="24"/>
          <w:highlight w:val="none"/>
          <w:shd w:val="clear" w:color="auto" w:fill="auto"/>
          <w:lang w:val="en-US" w:eastAsia="zh-CN"/>
        </w:rPr>
      </w:pPr>
      <w:r>
        <w:rPr>
          <w:rFonts w:hint="eastAsia" w:ascii="仿宋" w:hAnsi="仿宋" w:eastAsia="仿宋" w:cs="仿宋"/>
          <w:color w:val="000000"/>
          <w:sz w:val="22"/>
          <w:szCs w:val="22"/>
          <w:lang w:val="en-US" w:eastAsia="zh-CN"/>
        </w:rPr>
        <w:t>（3）本次采购的标的物需要运输，中标人在合同约定的时间内将标的物运输至合同约定地点。</w:t>
      </w:r>
    </w:p>
    <w:p w14:paraId="5EEC81C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Times New Roman" w:hAnsi="Times New Roman" w:eastAsia="仿宋" w:cs="Times New Roman"/>
          <w:b/>
          <w:bCs/>
          <w:color w:val="auto"/>
          <w:sz w:val="24"/>
          <w:szCs w:val="24"/>
          <w:highlight w:val="none"/>
          <w:shd w:val="clear" w:color="auto" w:fill="auto"/>
          <w:lang w:val="en-US" w:eastAsia="zh-CN"/>
        </w:rPr>
        <w:t>★</w:t>
      </w:r>
      <w:r>
        <w:rPr>
          <w:rFonts w:hint="eastAsia" w:eastAsia="仿宋" w:cs="Times New Roman"/>
          <w:b/>
          <w:bCs/>
          <w:color w:val="auto"/>
          <w:sz w:val="24"/>
          <w:szCs w:val="24"/>
          <w:highlight w:val="none"/>
          <w:shd w:val="clear" w:color="auto" w:fill="auto"/>
          <w:lang w:val="en-US" w:eastAsia="zh-CN"/>
        </w:rPr>
        <w:t>五</w:t>
      </w:r>
      <w:r>
        <w:rPr>
          <w:rFonts w:hint="eastAsia" w:ascii="仿宋" w:hAnsi="仿宋" w:eastAsia="仿宋" w:cs="仿宋"/>
          <w:b/>
          <w:bCs/>
          <w:color w:val="000000"/>
          <w:sz w:val="24"/>
          <w:szCs w:val="24"/>
          <w:lang w:val="en-US" w:eastAsia="zh-CN"/>
        </w:rPr>
        <w:t>、合同管理</w:t>
      </w:r>
    </w:p>
    <w:p w14:paraId="11C137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000000"/>
          <w:sz w:val="24"/>
          <w:szCs w:val="24"/>
          <w:lang w:val="en-US" w:eastAsia="zh-CN"/>
        </w:rPr>
        <w:t>1、</w:t>
      </w:r>
      <w:r>
        <w:rPr>
          <w:rFonts w:hint="eastAsia" w:ascii="仿宋" w:hAnsi="仿宋" w:eastAsia="仿宋" w:cs="仿宋"/>
          <w:color w:val="auto"/>
          <w:sz w:val="24"/>
          <w:szCs w:val="24"/>
          <w:highlight w:val="none"/>
          <w:shd w:val="clear" w:color="auto" w:fill="auto"/>
          <w:lang w:eastAsia="zh-CN"/>
        </w:rPr>
        <w:t>是否为据实结算：☑是□</w:t>
      </w:r>
      <w:r>
        <w:rPr>
          <w:rFonts w:hint="eastAsia" w:ascii="仿宋" w:hAnsi="仿宋" w:eastAsia="仿宋" w:cs="仿宋"/>
          <w:color w:val="auto"/>
          <w:sz w:val="24"/>
          <w:szCs w:val="24"/>
          <w:highlight w:val="none"/>
          <w:shd w:val="clear" w:color="auto" w:fill="auto"/>
        </w:rPr>
        <w:t>否</w:t>
      </w:r>
    </w:p>
    <w:p w14:paraId="7A55EB1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rPr>
        <w:t>合同履行期限：</w:t>
      </w:r>
      <w:r>
        <w:rPr>
          <w:rFonts w:hint="eastAsia" w:ascii="仿宋" w:hAnsi="仿宋" w:eastAsia="仿宋" w:cs="仿宋"/>
          <w:color w:val="auto"/>
          <w:sz w:val="24"/>
          <w:szCs w:val="24"/>
          <w:highlight w:val="none"/>
          <w:shd w:val="clear" w:color="auto" w:fill="auto"/>
          <w:lang w:val="en-US" w:eastAsia="zh-CN"/>
        </w:rPr>
        <w:t>1年。</w:t>
      </w:r>
    </w:p>
    <w:p w14:paraId="1B7C96D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rPr>
        <w:t>合同支付约定：</w:t>
      </w:r>
      <w:r>
        <w:rPr>
          <w:rFonts w:hint="eastAsia" w:ascii="仿宋" w:hAnsi="仿宋" w:eastAsia="仿宋" w:cs="仿宋"/>
          <w:color w:val="auto"/>
          <w:sz w:val="24"/>
          <w:szCs w:val="24"/>
          <w:highlight w:val="none"/>
          <w:u w:val="none"/>
          <w:shd w:val="clear" w:color="auto" w:fill="auto"/>
          <w:lang w:val="en-US" w:eastAsia="zh-CN"/>
        </w:rPr>
        <w:t>双方同意以采购人财务制度规定的付款时间及付款要求进行结算，投标人已完全了解并清楚采购人的财务制度，投标人对采购人财务制度规定的付款要求及付款时间不持异议。</w:t>
      </w:r>
    </w:p>
    <w:p w14:paraId="10F790D8">
      <w:pPr>
        <w:keepNext w:val="0"/>
        <w:keepLines w:val="0"/>
        <w:pageBreakBefore w:val="0"/>
        <w:widowControl w:val="0"/>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color w:val="000000"/>
          <w:sz w:val="24"/>
          <w:szCs w:val="24"/>
          <w:shd w:val="clear"/>
        </w:rPr>
      </w:pPr>
      <w:r>
        <w:rPr>
          <w:rFonts w:hint="eastAsia" w:ascii="仿宋" w:hAnsi="仿宋" w:eastAsia="仿宋" w:cs="仿宋"/>
          <w:b w:val="0"/>
          <w:bCs w:val="0"/>
          <w:color w:val="000000"/>
          <w:sz w:val="24"/>
          <w:szCs w:val="24"/>
          <w:shd w:val="clear"/>
          <w:lang w:val="en-US" w:eastAsia="zh-CN"/>
        </w:rPr>
        <w:t>4、</w:t>
      </w:r>
      <w:r>
        <w:rPr>
          <w:rFonts w:hint="eastAsia" w:ascii="仿宋" w:hAnsi="仿宋" w:eastAsia="仿宋" w:cs="仿宋"/>
          <w:b w:val="0"/>
          <w:bCs w:val="0"/>
          <w:color w:val="000000"/>
          <w:sz w:val="24"/>
          <w:szCs w:val="24"/>
          <w:shd w:val="clear"/>
        </w:rPr>
        <w:t>违约责任与解决争议的方法：</w:t>
      </w:r>
    </w:p>
    <w:p w14:paraId="69EEF70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val="en-US" w:eastAsia="zh-CN"/>
        </w:rPr>
        <w:t>4.1</w:t>
      </w:r>
      <w:r>
        <w:rPr>
          <w:rFonts w:hint="eastAsia" w:ascii="Times New Roman" w:hAnsi="Times New Roman" w:eastAsia="仿宋" w:cs="Times New Roman"/>
          <w:color w:val="auto"/>
          <w:sz w:val="24"/>
          <w:highlight w:val="none"/>
          <w:shd w:val="clear" w:color="auto" w:fill="auto"/>
        </w:rPr>
        <w:t>违约责任</w:t>
      </w:r>
    </w:p>
    <w:p w14:paraId="2F151E3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val="en-US" w:eastAsia="zh-CN"/>
        </w:rPr>
        <w:t>1</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逾期15日内不能提供</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所需医用耗材的，应向</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每日支付该批次货款千分之三的违约金。</w:t>
      </w:r>
    </w:p>
    <w:p w14:paraId="7532E60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val="en-US" w:eastAsia="zh-CN"/>
        </w:rPr>
        <w:t>2</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逾期15日及以上不能交付以上产品的，视同不能供货，须向</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支付该</w:t>
      </w:r>
      <w:r>
        <w:rPr>
          <w:rFonts w:hint="eastAsia" w:ascii="Times New Roman" w:hAnsi="Times New Roman" w:eastAsia="仿宋" w:cs="Times New Roman"/>
          <w:color w:val="auto"/>
          <w:sz w:val="24"/>
          <w:highlight w:val="none"/>
          <w:shd w:val="clear" w:color="auto" w:fill="auto"/>
          <w:lang w:val="en-US" w:eastAsia="zh-Hans"/>
        </w:rPr>
        <w:t>采购预算金额</w:t>
      </w:r>
      <w:r>
        <w:rPr>
          <w:rFonts w:hint="default" w:ascii="Times New Roman" w:hAnsi="Times New Roman" w:eastAsia="仿宋" w:cs="Times New Roman"/>
          <w:color w:val="auto"/>
          <w:sz w:val="24"/>
          <w:highlight w:val="none"/>
          <w:shd w:val="clear" w:color="auto" w:fill="auto"/>
          <w:lang w:eastAsia="zh-Hans"/>
        </w:rPr>
        <w:t>30%</w:t>
      </w:r>
      <w:r>
        <w:rPr>
          <w:rFonts w:hint="eastAsia" w:ascii="Times New Roman" w:hAnsi="Times New Roman" w:eastAsia="仿宋" w:cs="Times New Roman"/>
          <w:color w:val="auto"/>
          <w:sz w:val="24"/>
          <w:highlight w:val="none"/>
          <w:shd w:val="clear" w:color="auto" w:fill="auto"/>
        </w:rPr>
        <w:t>的违约金，同时</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可以单方面解除</w:t>
      </w:r>
      <w:r>
        <w:rPr>
          <w:rFonts w:hint="eastAsia" w:ascii="Times New Roman" w:hAnsi="Times New Roman" w:eastAsia="仿宋" w:cs="Times New Roman"/>
          <w:color w:val="auto"/>
          <w:sz w:val="24"/>
          <w:highlight w:val="none"/>
          <w:shd w:val="clear" w:color="auto" w:fill="auto"/>
          <w:lang w:eastAsia="zh-CN"/>
        </w:rPr>
        <w:t>采购合同</w:t>
      </w:r>
      <w:r>
        <w:rPr>
          <w:rFonts w:hint="eastAsia" w:ascii="Times New Roman" w:hAnsi="Times New Roman" w:eastAsia="仿宋" w:cs="Times New Roman"/>
          <w:color w:val="auto"/>
          <w:sz w:val="24"/>
          <w:highlight w:val="none"/>
          <w:shd w:val="clear" w:color="auto" w:fill="auto"/>
        </w:rPr>
        <w:t>。</w:t>
      </w:r>
    </w:p>
    <w:p w14:paraId="4087A36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val="en-US" w:eastAsia="zh-CN"/>
        </w:rPr>
        <w:t>3</w:t>
      </w: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rPr>
        <w:t>若因</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原因造成</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被监管部门通报三次及以上的或者</w:t>
      </w:r>
      <w:r>
        <w:rPr>
          <w:rFonts w:hint="eastAsia" w:ascii="Times New Roman" w:hAnsi="Times New Roman" w:eastAsia="仿宋" w:cs="Times New Roman"/>
          <w:color w:val="auto"/>
          <w:sz w:val="24"/>
          <w:highlight w:val="none"/>
          <w:shd w:val="clear" w:color="auto" w:fill="auto"/>
          <w:lang w:eastAsia="zh-CN"/>
        </w:rPr>
        <w:t>造成采购人违规采购</w:t>
      </w:r>
      <w:r>
        <w:rPr>
          <w:rFonts w:hint="eastAsia" w:ascii="Times New Roman" w:hAnsi="Times New Roman" w:eastAsia="仿宋" w:cs="Times New Roman"/>
          <w:color w:val="auto"/>
          <w:sz w:val="24"/>
          <w:highlight w:val="none"/>
          <w:shd w:val="clear" w:color="auto" w:fill="auto"/>
        </w:rPr>
        <w:t>，</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有权单方面解除</w:t>
      </w:r>
      <w:r>
        <w:rPr>
          <w:rFonts w:hint="eastAsia" w:ascii="Times New Roman" w:hAnsi="Times New Roman" w:eastAsia="仿宋" w:cs="Times New Roman"/>
          <w:color w:val="auto"/>
          <w:sz w:val="24"/>
          <w:highlight w:val="none"/>
          <w:shd w:val="clear" w:color="auto" w:fill="auto"/>
          <w:lang w:eastAsia="zh-CN"/>
        </w:rPr>
        <w:t>采购合同</w:t>
      </w:r>
      <w:r>
        <w:rPr>
          <w:rFonts w:hint="eastAsia" w:ascii="Times New Roman" w:hAnsi="Times New Roman" w:eastAsia="仿宋" w:cs="Times New Roman"/>
          <w:color w:val="auto"/>
          <w:sz w:val="24"/>
          <w:highlight w:val="none"/>
          <w:shd w:val="clear" w:color="auto" w:fill="auto"/>
        </w:rPr>
        <w:t>。</w:t>
      </w:r>
      <w:r>
        <w:rPr>
          <w:rFonts w:hint="eastAsia" w:ascii="Times New Roman" w:hAnsi="Times New Roman" w:eastAsia="仿宋" w:cs="Times New Roman"/>
          <w:color w:val="auto"/>
          <w:sz w:val="24"/>
          <w:highlight w:val="none"/>
          <w:shd w:val="clear" w:color="auto" w:fill="auto"/>
          <w:lang w:eastAsia="zh-CN"/>
        </w:rPr>
        <w:t>同时</w:t>
      </w:r>
      <w:r>
        <w:rPr>
          <w:rFonts w:hint="default"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eastAsia="zh-CN"/>
        </w:rPr>
        <w:t>采购人有权要求中标人支付该批货物价款</w:t>
      </w:r>
      <w:r>
        <w:rPr>
          <w:rFonts w:hint="eastAsia" w:ascii="Times New Roman" w:hAnsi="Times New Roman" w:eastAsia="仿宋" w:cs="Times New Roman"/>
          <w:color w:val="auto"/>
          <w:sz w:val="24"/>
          <w:highlight w:val="none"/>
          <w:shd w:val="clear" w:color="auto" w:fill="auto"/>
          <w:lang w:val="en-US" w:eastAsia="zh-CN"/>
        </w:rPr>
        <w:t>20%</w:t>
      </w:r>
      <w:r>
        <w:rPr>
          <w:rFonts w:hint="eastAsia" w:ascii="Times New Roman" w:hAnsi="Times New Roman" w:eastAsia="仿宋" w:cs="Times New Roman"/>
          <w:color w:val="auto"/>
          <w:sz w:val="24"/>
          <w:highlight w:val="none"/>
          <w:shd w:val="clear" w:color="auto" w:fill="auto"/>
          <w:lang w:eastAsia="zh-CN"/>
        </w:rPr>
        <w:t>的违约金</w:t>
      </w:r>
      <w:r>
        <w:rPr>
          <w:rFonts w:hint="eastAsia" w:ascii="Times New Roman" w:hAnsi="Times New Roman" w:eastAsia="仿宋" w:cs="Times New Roman"/>
          <w:color w:val="auto"/>
          <w:sz w:val="24"/>
          <w:highlight w:val="none"/>
          <w:shd w:val="clear" w:color="auto" w:fill="auto"/>
        </w:rPr>
        <w:t>。</w:t>
      </w:r>
    </w:p>
    <w:p w14:paraId="04A506E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val="en-US" w:eastAsia="zh-CN"/>
        </w:rPr>
        <w:t>4</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销售的产品若发生严重医疗不良事件或被国家法定检测机构检测为不合格产品，视为</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违约导致不能实现</w:t>
      </w:r>
      <w:r>
        <w:rPr>
          <w:rFonts w:hint="eastAsia" w:ascii="Times New Roman" w:hAnsi="Times New Roman" w:eastAsia="仿宋" w:cs="Times New Roman"/>
          <w:color w:val="auto"/>
          <w:sz w:val="24"/>
          <w:highlight w:val="none"/>
          <w:shd w:val="clear" w:color="auto" w:fill="auto"/>
          <w:lang w:eastAsia="zh-CN"/>
        </w:rPr>
        <w:t>采购合同</w:t>
      </w:r>
      <w:r>
        <w:rPr>
          <w:rFonts w:hint="eastAsia" w:ascii="Times New Roman" w:hAnsi="Times New Roman" w:eastAsia="仿宋" w:cs="Times New Roman"/>
          <w:color w:val="auto"/>
          <w:sz w:val="24"/>
          <w:highlight w:val="none"/>
          <w:shd w:val="clear" w:color="auto" w:fill="auto"/>
        </w:rPr>
        <w:t>目的，</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有权单方面解除</w:t>
      </w:r>
      <w:r>
        <w:rPr>
          <w:rFonts w:hint="eastAsia" w:ascii="Times New Roman" w:hAnsi="Times New Roman" w:eastAsia="仿宋" w:cs="Times New Roman"/>
          <w:color w:val="auto"/>
          <w:sz w:val="24"/>
          <w:highlight w:val="none"/>
          <w:shd w:val="clear" w:color="auto" w:fill="auto"/>
          <w:lang w:eastAsia="zh-CN"/>
        </w:rPr>
        <w:t>采购合同</w:t>
      </w:r>
      <w:r>
        <w:rPr>
          <w:rFonts w:hint="eastAsia" w:ascii="Times New Roman" w:hAnsi="Times New Roman" w:eastAsia="仿宋" w:cs="Times New Roman"/>
          <w:color w:val="auto"/>
          <w:sz w:val="24"/>
          <w:highlight w:val="none"/>
          <w:shd w:val="clear" w:color="auto" w:fill="auto"/>
        </w:rPr>
        <w:t>，并要求</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限期收回不合格产品，并要求</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需承担合同价款20%的违约金，违约金不足以</w:t>
      </w:r>
      <w:r>
        <w:rPr>
          <w:rFonts w:hint="eastAsia" w:ascii="Times New Roman" w:hAnsi="Times New Roman" w:eastAsia="仿宋" w:cs="Times New Roman"/>
          <w:color w:val="auto"/>
          <w:sz w:val="24"/>
          <w:highlight w:val="none"/>
          <w:shd w:val="clear" w:color="auto" w:fill="auto"/>
          <w:lang w:val="en-US" w:eastAsia="zh-Hans"/>
        </w:rPr>
        <w:t>弥补</w:t>
      </w:r>
      <w:r>
        <w:rPr>
          <w:rFonts w:hint="eastAsia" w:ascii="Times New Roman" w:hAnsi="Times New Roman" w:eastAsia="仿宋" w:cs="Times New Roman"/>
          <w:color w:val="auto"/>
          <w:sz w:val="24"/>
          <w:highlight w:val="none"/>
          <w:shd w:val="clear" w:color="auto" w:fill="auto"/>
          <w:lang w:val="en-US" w:eastAsia="zh-CN"/>
        </w:rPr>
        <w:t>采购人</w:t>
      </w:r>
      <w:r>
        <w:rPr>
          <w:rFonts w:hint="eastAsia" w:ascii="Times New Roman" w:hAnsi="Times New Roman" w:eastAsia="仿宋" w:cs="Times New Roman"/>
          <w:color w:val="auto"/>
          <w:sz w:val="24"/>
          <w:highlight w:val="none"/>
          <w:shd w:val="clear" w:color="auto" w:fill="auto"/>
        </w:rPr>
        <w:t>损失的，</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还应当</w:t>
      </w:r>
      <w:r>
        <w:rPr>
          <w:rFonts w:hint="eastAsia" w:ascii="Times New Roman" w:hAnsi="Times New Roman" w:eastAsia="仿宋" w:cs="Times New Roman"/>
          <w:color w:val="auto"/>
          <w:sz w:val="24"/>
          <w:highlight w:val="none"/>
          <w:shd w:val="clear" w:color="auto" w:fill="auto"/>
          <w:lang w:val="en-US" w:eastAsia="zh-Hans"/>
        </w:rPr>
        <w:t>补足</w:t>
      </w:r>
      <w:r>
        <w:rPr>
          <w:rFonts w:hint="eastAsia" w:ascii="Times New Roman" w:hAnsi="Times New Roman" w:eastAsia="仿宋" w:cs="Times New Roman"/>
          <w:color w:val="auto"/>
          <w:sz w:val="24"/>
          <w:highlight w:val="none"/>
          <w:shd w:val="clear" w:color="auto" w:fill="auto"/>
        </w:rPr>
        <w:t>。</w:t>
      </w:r>
    </w:p>
    <w:p w14:paraId="387035E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rPr>
        <w:t>即使产品已经验收入库（或安装调试完毕）后，</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才发现产品为不合格产品的，也视为</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违约，</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应当承担本条约定的责任。同时</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有权退回库存产品。</w:t>
      </w:r>
    </w:p>
    <w:p w14:paraId="4AE6BBC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val="en-US" w:eastAsia="zh-CN"/>
        </w:rPr>
        <w:t>5</w:t>
      </w: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rPr>
        <w:t>若根据法律规定或本协议约定产生</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退、换货或拒绝收货情形，由</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承担退换货产生的各项税、费或其他支出。</w:t>
      </w:r>
    </w:p>
    <w:p w14:paraId="6E5D258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val="en-US" w:eastAsia="zh-CN"/>
        </w:rPr>
        <w:t>6</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不能保证及时供货，除应当向</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承担违约责任外，</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仍有权单方面解除</w:t>
      </w:r>
      <w:r>
        <w:rPr>
          <w:rFonts w:hint="eastAsia" w:ascii="Times New Roman" w:hAnsi="Times New Roman" w:eastAsia="仿宋" w:cs="Times New Roman"/>
          <w:color w:val="auto"/>
          <w:sz w:val="24"/>
          <w:highlight w:val="none"/>
          <w:shd w:val="clear" w:color="auto" w:fill="auto"/>
          <w:lang w:eastAsia="zh-CN"/>
        </w:rPr>
        <w:t>采购合同</w:t>
      </w:r>
      <w:r>
        <w:rPr>
          <w:rFonts w:hint="eastAsia" w:ascii="Times New Roman" w:hAnsi="Times New Roman" w:eastAsia="仿宋" w:cs="Times New Roman"/>
          <w:color w:val="auto"/>
          <w:sz w:val="24"/>
          <w:highlight w:val="none"/>
          <w:shd w:val="clear" w:color="auto" w:fill="auto"/>
        </w:rPr>
        <w:t>。</w:t>
      </w:r>
    </w:p>
    <w:p w14:paraId="01E3626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val="en-US" w:eastAsia="zh-CN"/>
        </w:rPr>
        <w:t>7</w:t>
      </w: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rPr>
        <w:t>因</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提供的产品不合格造成</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或第三人人身损害或财产损失的，由</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承担赔偿责任。</w:t>
      </w:r>
    </w:p>
    <w:p w14:paraId="777A89E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lang w:eastAsia="zh-CN"/>
        </w:rPr>
      </w:pPr>
      <w:r>
        <w:rPr>
          <w:rFonts w:hint="eastAsia" w:ascii="Times New Roman" w:hAnsi="Times New Roman" w:eastAsia="仿宋" w:cs="Times New Roman"/>
          <w:color w:val="auto"/>
          <w:sz w:val="24"/>
          <w:highlight w:val="none"/>
          <w:shd w:val="clear" w:color="auto" w:fill="auto"/>
          <w:lang w:val="en-US" w:eastAsia="zh-CN"/>
        </w:rPr>
        <w:t>（8）若因中标人原因造成采购人挂网执行存在问题以及线上支付不及时、造成采购人未挂网采购的或者存在其他问题的，中标人应承担违约责任，且</w:t>
      </w:r>
      <w:r>
        <w:rPr>
          <w:rFonts w:hint="eastAsia" w:ascii="Times New Roman" w:hAnsi="Times New Roman" w:eastAsia="仿宋" w:cs="Times New Roman"/>
          <w:color w:val="auto"/>
          <w:sz w:val="24"/>
          <w:highlight w:val="none"/>
          <w:shd w:val="clear" w:color="auto" w:fill="auto"/>
          <w:lang w:eastAsia="zh-CN"/>
        </w:rPr>
        <w:t>采购人有权要求中标人支付该批货物价款</w:t>
      </w:r>
      <w:r>
        <w:rPr>
          <w:rFonts w:hint="eastAsia" w:ascii="Times New Roman" w:hAnsi="Times New Roman" w:eastAsia="仿宋" w:cs="Times New Roman"/>
          <w:color w:val="auto"/>
          <w:sz w:val="24"/>
          <w:highlight w:val="none"/>
          <w:shd w:val="clear" w:color="auto" w:fill="auto"/>
          <w:lang w:val="en-US" w:eastAsia="zh-CN"/>
        </w:rPr>
        <w:t>20%</w:t>
      </w:r>
      <w:r>
        <w:rPr>
          <w:rFonts w:hint="eastAsia" w:ascii="Times New Roman" w:hAnsi="Times New Roman" w:eastAsia="仿宋" w:cs="Times New Roman"/>
          <w:color w:val="auto"/>
          <w:sz w:val="24"/>
          <w:highlight w:val="none"/>
          <w:shd w:val="clear" w:color="auto" w:fill="auto"/>
          <w:lang w:eastAsia="zh-CN"/>
        </w:rPr>
        <w:t>的违约金，采购人有权单方面解除合同。</w:t>
      </w:r>
    </w:p>
    <w:p w14:paraId="560BCE8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szCs w:val="24"/>
          <w:highlight w:val="none"/>
          <w:shd w:val="clear" w:color="auto" w:fill="auto"/>
        </w:rPr>
      </w:pPr>
      <w:r>
        <w:rPr>
          <w:rFonts w:hint="eastAsia" w:ascii="Times New Roman" w:hAnsi="Times New Roman" w:eastAsia="仿宋" w:cs="Times New Roman"/>
          <w:color w:val="auto"/>
          <w:sz w:val="24"/>
          <w:szCs w:val="24"/>
          <w:highlight w:val="none"/>
          <w:shd w:val="clear" w:color="auto" w:fill="auto"/>
          <w:lang w:val="en-US" w:eastAsia="zh-CN"/>
        </w:rPr>
        <w:t>（9）中标人</w:t>
      </w:r>
      <w:r>
        <w:rPr>
          <w:rFonts w:hint="eastAsia" w:ascii="Times New Roman" w:hAnsi="Times New Roman" w:eastAsia="仿宋" w:cs="Times New Roman"/>
          <w:color w:val="auto"/>
          <w:sz w:val="24"/>
          <w:szCs w:val="24"/>
          <w:highlight w:val="none"/>
          <w:shd w:val="clear" w:color="auto" w:fill="auto"/>
        </w:rPr>
        <w:t>拒不提供货物或不履行其主要合同义务的，构成根本性违约，应当向</w:t>
      </w:r>
      <w:r>
        <w:rPr>
          <w:rFonts w:hint="eastAsia" w:ascii="Times New Roman" w:hAnsi="Times New Roman" w:eastAsia="仿宋" w:cs="Times New Roman"/>
          <w:color w:val="auto"/>
          <w:sz w:val="24"/>
          <w:szCs w:val="24"/>
          <w:highlight w:val="none"/>
          <w:shd w:val="clear" w:color="auto" w:fill="auto"/>
          <w:lang w:val="en-US" w:eastAsia="zh-CN"/>
        </w:rPr>
        <w:t>采购人</w:t>
      </w:r>
      <w:r>
        <w:rPr>
          <w:rFonts w:hint="eastAsia" w:ascii="Times New Roman" w:hAnsi="Times New Roman" w:eastAsia="仿宋" w:cs="Times New Roman"/>
          <w:color w:val="auto"/>
          <w:sz w:val="24"/>
          <w:szCs w:val="24"/>
          <w:highlight w:val="none"/>
          <w:shd w:val="clear" w:color="auto" w:fill="auto"/>
        </w:rPr>
        <w:t>支付</w:t>
      </w:r>
      <w:r>
        <w:rPr>
          <w:rFonts w:hint="eastAsia" w:ascii="Times New Roman" w:hAnsi="Times New Roman" w:eastAsia="仿宋" w:cs="Times New Roman"/>
          <w:color w:val="auto"/>
          <w:sz w:val="24"/>
          <w:szCs w:val="24"/>
          <w:highlight w:val="none"/>
          <w:shd w:val="clear" w:color="auto" w:fill="auto"/>
          <w:lang w:val="en-US" w:eastAsia="zh-Hans"/>
        </w:rPr>
        <w:t>采购</w:t>
      </w:r>
      <w:r>
        <w:rPr>
          <w:rFonts w:hint="eastAsia" w:ascii="Times New Roman" w:hAnsi="Times New Roman" w:eastAsia="仿宋" w:cs="Times New Roman"/>
          <w:color w:val="auto"/>
          <w:sz w:val="24"/>
          <w:szCs w:val="24"/>
          <w:highlight w:val="none"/>
          <w:shd w:val="clear" w:color="auto" w:fill="auto"/>
          <w:lang w:val="en-US" w:eastAsia="zh-CN"/>
        </w:rPr>
        <w:t>预算金额</w:t>
      </w:r>
      <w:r>
        <w:rPr>
          <w:rFonts w:hint="eastAsia" w:ascii="Times New Roman" w:hAnsi="Times New Roman" w:eastAsia="仿宋" w:cs="Times New Roman"/>
          <w:color w:val="auto"/>
          <w:sz w:val="24"/>
          <w:szCs w:val="24"/>
          <w:highlight w:val="none"/>
          <w:shd w:val="clear" w:color="auto" w:fill="auto"/>
        </w:rPr>
        <w:t>30%的违约金，同时</w:t>
      </w:r>
      <w:r>
        <w:rPr>
          <w:rFonts w:hint="eastAsia" w:ascii="Times New Roman" w:hAnsi="Times New Roman" w:eastAsia="仿宋" w:cs="Times New Roman"/>
          <w:color w:val="auto"/>
          <w:sz w:val="24"/>
          <w:szCs w:val="24"/>
          <w:highlight w:val="none"/>
          <w:shd w:val="clear" w:color="auto" w:fill="auto"/>
          <w:lang w:val="en-US" w:eastAsia="zh-Hans"/>
        </w:rPr>
        <w:t>采购人</w:t>
      </w:r>
      <w:r>
        <w:rPr>
          <w:rFonts w:hint="eastAsia" w:ascii="Times New Roman" w:hAnsi="Times New Roman" w:eastAsia="仿宋" w:cs="Times New Roman"/>
          <w:color w:val="auto"/>
          <w:sz w:val="24"/>
          <w:szCs w:val="24"/>
          <w:highlight w:val="none"/>
          <w:shd w:val="clear" w:color="auto" w:fill="auto"/>
        </w:rPr>
        <w:t>有权单方面解除本合同。</w:t>
      </w:r>
    </w:p>
    <w:p w14:paraId="1551574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szCs w:val="24"/>
          <w:highlight w:val="none"/>
          <w:shd w:val="clear" w:color="auto" w:fill="auto"/>
        </w:rPr>
      </w:pPr>
      <w:r>
        <w:rPr>
          <w:rFonts w:hint="eastAsia" w:ascii="Times New Roman" w:hAnsi="Times New Roman" w:eastAsia="仿宋" w:cs="Times New Roman"/>
          <w:color w:val="auto"/>
          <w:sz w:val="24"/>
          <w:szCs w:val="24"/>
          <w:highlight w:val="none"/>
          <w:shd w:val="clear" w:color="auto" w:fill="auto"/>
          <w:lang w:eastAsia="zh-CN"/>
        </w:rPr>
        <w:t>（</w:t>
      </w:r>
      <w:r>
        <w:rPr>
          <w:rFonts w:hint="eastAsia" w:ascii="Times New Roman" w:hAnsi="Times New Roman" w:eastAsia="仿宋" w:cs="Times New Roman"/>
          <w:color w:val="auto"/>
          <w:sz w:val="24"/>
          <w:szCs w:val="24"/>
          <w:highlight w:val="none"/>
          <w:shd w:val="clear" w:color="auto" w:fill="auto"/>
          <w:lang w:val="en-US" w:eastAsia="zh-CN"/>
        </w:rPr>
        <w:t>10</w:t>
      </w:r>
      <w:r>
        <w:rPr>
          <w:rFonts w:hint="eastAsia" w:ascii="Times New Roman" w:hAnsi="Times New Roman" w:eastAsia="仿宋" w:cs="Times New Roman"/>
          <w:color w:val="auto"/>
          <w:sz w:val="24"/>
          <w:szCs w:val="24"/>
          <w:highlight w:val="none"/>
          <w:shd w:val="clear" w:color="auto" w:fill="auto"/>
          <w:lang w:eastAsia="zh-CN"/>
        </w:rPr>
        <w:t>）</w:t>
      </w:r>
      <w:r>
        <w:rPr>
          <w:rFonts w:hint="eastAsia" w:ascii="Times New Roman" w:hAnsi="Times New Roman" w:eastAsia="仿宋" w:cs="Times New Roman"/>
          <w:color w:val="auto"/>
          <w:sz w:val="24"/>
          <w:szCs w:val="24"/>
          <w:highlight w:val="none"/>
          <w:shd w:val="clear" w:color="auto" w:fill="auto"/>
          <w:lang w:val="en-US" w:eastAsia="zh-Hans"/>
        </w:rPr>
        <w:t>中标人</w:t>
      </w:r>
      <w:r>
        <w:rPr>
          <w:rFonts w:hint="eastAsia" w:ascii="Times New Roman" w:hAnsi="Times New Roman" w:eastAsia="仿宋" w:cs="Times New Roman"/>
          <w:color w:val="auto"/>
          <w:sz w:val="24"/>
          <w:szCs w:val="24"/>
          <w:highlight w:val="none"/>
          <w:shd w:val="clear" w:color="auto" w:fill="auto"/>
        </w:rPr>
        <w:t>擅自变更、中止、终止、解除合同的，应按</w:t>
      </w:r>
      <w:r>
        <w:rPr>
          <w:rFonts w:hint="eastAsia" w:ascii="Times New Roman" w:hAnsi="Times New Roman" w:eastAsia="仿宋" w:cs="Times New Roman"/>
          <w:color w:val="auto"/>
          <w:sz w:val="24"/>
          <w:szCs w:val="24"/>
          <w:highlight w:val="none"/>
          <w:shd w:val="clear" w:color="auto" w:fill="auto"/>
          <w:lang w:val="en-US" w:eastAsia="zh-Hans"/>
        </w:rPr>
        <w:t>采购预算金额的</w:t>
      </w:r>
      <w:r>
        <w:rPr>
          <w:rFonts w:hint="eastAsia" w:ascii="Times New Roman" w:hAnsi="Times New Roman" w:eastAsia="仿宋" w:cs="Times New Roman"/>
          <w:color w:val="auto"/>
          <w:sz w:val="24"/>
          <w:szCs w:val="24"/>
          <w:highlight w:val="none"/>
          <w:shd w:val="clear" w:color="auto" w:fill="auto"/>
        </w:rPr>
        <w:t>30%</w:t>
      </w:r>
      <w:r>
        <w:rPr>
          <w:rFonts w:hint="eastAsia" w:ascii="Times New Roman" w:hAnsi="Times New Roman" w:eastAsia="仿宋" w:cs="Times New Roman"/>
          <w:color w:val="auto"/>
          <w:sz w:val="24"/>
          <w:szCs w:val="24"/>
          <w:highlight w:val="none"/>
          <w:shd w:val="clear" w:color="auto" w:fill="auto"/>
          <w:lang w:val="en-US" w:eastAsia="zh-Hans"/>
        </w:rPr>
        <w:t>向采购人</w:t>
      </w:r>
      <w:r>
        <w:rPr>
          <w:rFonts w:hint="eastAsia" w:ascii="Times New Roman" w:hAnsi="Times New Roman" w:eastAsia="仿宋" w:cs="Times New Roman"/>
          <w:color w:val="auto"/>
          <w:sz w:val="24"/>
          <w:szCs w:val="24"/>
          <w:highlight w:val="none"/>
          <w:shd w:val="clear" w:color="auto" w:fill="auto"/>
        </w:rPr>
        <w:t>支付违约金，同时</w:t>
      </w:r>
      <w:r>
        <w:rPr>
          <w:rFonts w:hint="eastAsia" w:ascii="Times New Roman" w:hAnsi="Times New Roman" w:eastAsia="仿宋" w:cs="Times New Roman"/>
          <w:color w:val="auto"/>
          <w:sz w:val="24"/>
          <w:szCs w:val="24"/>
          <w:highlight w:val="none"/>
          <w:shd w:val="clear" w:color="auto" w:fill="auto"/>
          <w:lang w:val="en-US" w:eastAsia="zh-Hans"/>
        </w:rPr>
        <w:t>采购人</w:t>
      </w:r>
      <w:r>
        <w:rPr>
          <w:rFonts w:hint="eastAsia" w:ascii="Times New Roman" w:hAnsi="Times New Roman" w:eastAsia="仿宋" w:cs="Times New Roman"/>
          <w:color w:val="auto"/>
          <w:sz w:val="24"/>
          <w:szCs w:val="24"/>
          <w:highlight w:val="none"/>
          <w:shd w:val="clear" w:color="auto" w:fill="auto"/>
        </w:rPr>
        <w:t>有权单方解除合同。</w:t>
      </w:r>
    </w:p>
    <w:p w14:paraId="4E48CB0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szCs w:val="24"/>
          <w:highlight w:val="none"/>
          <w:shd w:val="clear" w:color="auto" w:fill="auto"/>
          <w:lang w:val="en-US" w:eastAsia="zh-CN"/>
        </w:rPr>
        <w:t>（11）</w:t>
      </w:r>
      <w:r>
        <w:rPr>
          <w:rFonts w:hint="eastAsia" w:ascii="Times New Roman" w:hAnsi="Times New Roman" w:eastAsia="仿宋" w:cs="Times New Roman"/>
          <w:color w:val="auto"/>
          <w:sz w:val="24"/>
          <w:szCs w:val="24"/>
          <w:highlight w:val="none"/>
          <w:shd w:val="clear" w:color="auto" w:fill="auto"/>
          <w:lang w:val="en-US" w:eastAsia="zh-Hans"/>
        </w:rPr>
        <w:t>中标人应</w:t>
      </w:r>
      <w:r>
        <w:rPr>
          <w:rFonts w:hint="eastAsia" w:ascii="Times New Roman" w:hAnsi="Times New Roman" w:eastAsia="仿宋" w:cs="Times New Roman"/>
          <w:color w:val="auto"/>
          <w:sz w:val="24"/>
          <w:highlight w:val="none"/>
          <w:shd w:val="clear" w:color="auto" w:fill="auto"/>
          <w:lang w:eastAsia="zh-Hans"/>
        </w:rPr>
        <w:t>保证其提供的</w:t>
      </w:r>
      <w:r>
        <w:rPr>
          <w:rFonts w:hint="eastAsia" w:ascii="Times New Roman" w:hAnsi="Times New Roman" w:eastAsia="仿宋" w:cs="Times New Roman"/>
          <w:color w:val="auto"/>
          <w:sz w:val="24"/>
          <w:highlight w:val="none"/>
          <w:shd w:val="clear" w:color="auto" w:fill="auto"/>
          <w:lang w:val="en-US" w:eastAsia="zh-Hans"/>
        </w:rPr>
        <w:t>货物或</w:t>
      </w:r>
      <w:r>
        <w:rPr>
          <w:rFonts w:hint="eastAsia" w:ascii="Times New Roman" w:hAnsi="Times New Roman" w:eastAsia="仿宋" w:cs="Times New Roman"/>
          <w:color w:val="auto"/>
          <w:sz w:val="24"/>
          <w:highlight w:val="none"/>
          <w:shd w:val="clear" w:color="auto" w:fill="auto"/>
          <w:lang w:eastAsia="zh-Hans"/>
        </w:rPr>
        <w:t>服务未侵犯第三人之著作权、商标权、专利权等知识产权及肖像权、名誉权、个人信息等其他合法权益，不会侵犯任何第三人的商业秘密或对任何第三人构成不正当竞争，如因此与第三人发生争议、诉讼或仲裁案件，由</w:t>
      </w:r>
      <w:r>
        <w:rPr>
          <w:rFonts w:hint="eastAsia" w:ascii="Times New Roman" w:hAnsi="Times New Roman" w:eastAsia="仿宋" w:cs="Times New Roman"/>
          <w:color w:val="auto"/>
          <w:sz w:val="24"/>
          <w:highlight w:val="none"/>
          <w:shd w:val="clear" w:color="auto" w:fill="auto"/>
          <w:lang w:val="en-US" w:eastAsia="zh-Hans"/>
        </w:rPr>
        <w:t>中标人</w:t>
      </w:r>
      <w:r>
        <w:rPr>
          <w:rFonts w:hint="eastAsia" w:ascii="Times New Roman" w:hAnsi="Times New Roman" w:eastAsia="仿宋" w:cs="Times New Roman"/>
          <w:color w:val="auto"/>
          <w:sz w:val="24"/>
          <w:highlight w:val="none"/>
          <w:shd w:val="clear" w:color="auto" w:fill="auto"/>
          <w:lang w:eastAsia="zh-Hans"/>
        </w:rPr>
        <w:t>承担全部责任，并负责赔偿</w:t>
      </w:r>
      <w:r>
        <w:rPr>
          <w:rFonts w:hint="eastAsia" w:ascii="Times New Roman" w:hAnsi="Times New Roman" w:eastAsia="仿宋" w:cs="Times New Roman"/>
          <w:color w:val="auto"/>
          <w:sz w:val="24"/>
          <w:highlight w:val="none"/>
          <w:shd w:val="clear" w:color="auto" w:fill="auto"/>
          <w:lang w:val="en-US" w:eastAsia="zh-Hans"/>
        </w:rPr>
        <w:t>采购人</w:t>
      </w:r>
      <w:r>
        <w:rPr>
          <w:rFonts w:hint="eastAsia" w:ascii="Times New Roman" w:hAnsi="Times New Roman" w:eastAsia="仿宋" w:cs="Times New Roman"/>
          <w:color w:val="auto"/>
          <w:sz w:val="24"/>
          <w:highlight w:val="none"/>
          <w:shd w:val="clear" w:color="auto" w:fill="auto"/>
          <w:lang w:eastAsia="zh-Hans"/>
        </w:rPr>
        <w:t>由此而遭受的全部损失。</w:t>
      </w:r>
    </w:p>
    <w:p w14:paraId="1F89271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szCs w:val="24"/>
          <w:highlight w:val="none"/>
          <w:shd w:val="clear" w:color="auto" w:fill="auto"/>
        </w:rPr>
      </w:pPr>
      <w:r>
        <w:rPr>
          <w:rFonts w:hint="eastAsia" w:ascii="Times New Roman" w:hAnsi="Times New Roman" w:eastAsia="仿宋" w:cs="Times New Roman"/>
          <w:color w:val="auto"/>
          <w:sz w:val="24"/>
          <w:szCs w:val="24"/>
          <w:highlight w:val="none"/>
          <w:shd w:val="clear" w:color="auto" w:fill="auto"/>
          <w:lang w:val="en-US" w:eastAsia="zh-CN"/>
        </w:rPr>
        <w:t>4.2</w:t>
      </w:r>
      <w:r>
        <w:rPr>
          <w:rFonts w:hint="eastAsia" w:ascii="Times New Roman" w:hAnsi="Times New Roman" w:eastAsia="仿宋" w:cs="Times New Roman"/>
          <w:color w:val="auto"/>
          <w:sz w:val="24"/>
          <w:szCs w:val="24"/>
          <w:highlight w:val="none"/>
          <w:shd w:val="clear" w:color="auto" w:fill="auto"/>
        </w:rPr>
        <w:t>缔约过失责任</w:t>
      </w:r>
    </w:p>
    <w:p w14:paraId="7D89BC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szCs w:val="24"/>
          <w:highlight w:val="none"/>
          <w:shd w:val="clear" w:color="auto" w:fill="auto"/>
        </w:rPr>
      </w:pPr>
      <w:r>
        <w:rPr>
          <w:rFonts w:hint="eastAsia" w:ascii="Times New Roman" w:hAnsi="Times New Roman" w:eastAsia="仿宋" w:cs="Times New Roman"/>
          <w:color w:val="auto"/>
          <w:sz w:val="24"/>
          <w:szCs w:val="24"/>
          <w:highlight w:val="none"/>
          <w:shd w:val="clear" w:color="auto" w:fill="auto"/>
        </w:rPr>
        <w:t>供应商无正当理由未能在规定时间内与采购人签订合同的，需向采购人支付中标（成交）金额20%的赔偿金。赔偿金不足以弥补采购人全部损失的，还应赔偿采购人全部损失；</w:t>
      </w:r>
    </w:p>
    <w:p w14:paraId="525BF94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szCs w:val="24"/>
          <w:highlight w:val="none"/>
          <w:shd w:val="clear" w:color="auto" w:fill="auto"/>
        </w:rPr>
      </w:pPr>
      <w:r>
        <w:rPr>
          <w:rFonts w:hint="eastAsia" w:ascii="Times New Roman" w:hAnsi="Times New Roman" w:eastAsia="仿宋" w:cs="Times New Roman"/>
          <w:color w:val="auto"/>
          <w:sz w:val="24"/>
          <w:szCs w:val="24"/>
          <w:highlight w:val="none"/>
          <w:shd w:val="clear" w:color="auto" w:fill="auto"/>
        </w:rPr>
        <w:t>若投标供应商提交的投标(响应)文件存在虚假材料或虚假响应的情况，投标供应商应向采购人支付年度预算（项目预算）金额30%的赔偿金。</w:t>
      </w:r>
    </w:p>
    <w:p w14:paraId="4AC99A4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lang w:val="en-US" w:eastAsia="zh-CN"/>
        </w:rPr>
      </w:pPr>
    </w:p>
    <w:p w14:paraId="40D5ECF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val="en-US" w:eastAsia="zh-CN"/>
        </w:rPr>
        <w:t>4.3</w:t>
      </w:r>
      <w:r>
        <w:rPr>
          <w:rFonts w:hint="eastAsia" w:ascii="Times New Roman" w:hAnsi="Times New Roman" w:eastAsia="仿宋" w:cs="Times New Roman"/>
          <w:color w:val="auto"/>
          <w:sz w:val="24"/>
          <w:highlight w:val="none"/>
          <w:shd w:val="clear" w:color="auto" w:fill="auto"/>
        </w:rPr>
        <w:t>解决合同纠纷的方式</w:t>
      </w:r>
    </w:p>
    <w:p w14:paraId="4E66748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val="en-US" w:eastAsia="zh-CN"/>
        </w:rPr>
        <w:t>1</w:t>
      </w: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rPr>
        <w:t>因货物的质量问题发生的争议，由法定质量鉴定机构或其认可的质量鉴定机构进行质量鉴定。货物符合标准的，鉴定费由</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承担；货物不符合质量标准的，鉴定费由</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承担。</w:t>
      </w:r>
    </w:p>
    <w:p w14:paraId="7CFEA1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val="en-US" w:eastAsia="zh-CN"/>
        </w:rPr>
        <w:t>2</w:t>
      </w:r>
      <w:r>
        <w:rPr>
          <w:rFonts w:hint="eastAsia"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rPr>
        <w:t>合同履行期间，若双方发生争议，可协商或由有关部门调解解决，协商或调解不成的，可向</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所在地人民法院依法提起诉讼。</w:t>
      </w:r>
    </w:p>
    <w:p w14:paraId="0AA4FB7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color w:val="auto"/>
          <w:sz w:val="24"/>
          <w:szCs w:val="24"/>
          <w:highlight w:val="none"/>
          <w:shd w:val="clear" w:color="auto" w:fill="auto"/>
          <w:lang w:val="en-US" w:eastAsia="zh-CN"/>
        </w:rPr>
      </w:pPr>
      <w:r>
        <w:rPr>
          <w:rFonts w:hint="eastAsia" w:ascii="Times New Roman" w:hAnsi="Times New Roman" w:eastAsia="仿宋" w:cs="Times New Roman"/>
          <w:b/>
          <w:bCs/>
          <w:color w:val="auto"/>
          <w:sz w:val="24"/>
          <w:szCs w:val="24"/>
          <w:highlight w:val="none"/>
          <w:shd w:val="clear" w:color="auto" w:fill="auto"/>
          <w:lang w:val="en-US" w:eastAsia="zh-CN"/>
        </w:rPr>
        <w:t>★</w:t>
      </w:r>
      <w:r>
        <w:rPr>
          <w:rFonts w:hint="eastAsia" w:eastAsia="仿宋" w:cs="Times New Roman"/>
          <w:b/>
          <w:bCs/>
          <w:color w:val="auto"/>
          <w:sz w:val="24"/>
          <w:szCs w:val="24"/>
          <w:highlight w:val="none"/>
          <w:shd w:val="clear" w:color="auto" w:fill="auto"/>
          <w:lang w:val="en-US" w:eastAsia="zh-CN"/>
        </w:rPr>
        <w:t>六</w:t>
      </w:r>
      <w:r>
        <w:rPr>
          <w:rFonts w:hint="eastAsia" w:ascii="仿宋" w:hAnsi="仿宋" w:eastAsia="仿宋" w:cs="仿宋"/>
          <w:b/>
          <w:bCs/>
          <w:color w:val="auto"/>
          <w:sz w:val="24"/>
          <w:szCs w:val="24"/>
          <w:highlight w:val="none"/>
          <w:shd w:val="clear" w:color="auto" w:fill="auto"/>
          <w:lang w:val="en-US" w:eastAsia="zh-CN"/>
        </w:rPr>
        <w:t>、</w:t>
      </w:r>
      <w:r>
        <w:rPr>
          <w:rFonts w:hint="eastAsia" w:ascii="仿宋" w:hAnsi="仿宋" w:eastAsia="仿宋" w:cs="仿宋"/>
          <w:b/>
          <w:bCs/>
          <w:color w:val="auto"/>
          <w:kern w:val="2"/>
          <w:sz w:val="24"/>
          <w:szCs w:val="24"/>
          <w:highlight w:val="none"/>
          <w:shd w:val="clear" w:color="auto" w:fill="auto"/>
          <w:lang w:val="en-US" w:eastAsia="zh-CN" w:bidi="ar-SA"/>
        </w:rPr>
        <w:t>履约验收方案</w:t>
      </w:r>
    </w:p>
    <w:p w14:paraId="2785AADD">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1、</w:t>
      </w:r>
      <w:r>
        <w:rPr>
          <w:rFonts w:hint="eastAsia" w:ascii="仿宋" w:hAnsi="仿宋" w:eastAsia="仿宋" w:cs="仿宋"/>
          <w:color w:val="auto"/>
          <w:sz w:val="24"/>
          <w:szCs w:val="24"/>
          <w:highlight w:val="none"/>
          <w:shd w:val="clear" w:color="auto" w:fill="auto"/>
        </w:rPr>
        <w:t>履约验收程序</w:t>
      </w: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u w:val="none"/>
          <w:shd w:val="clear" w:color="auto" w:fill="auto"/>
          <w:lang w:val="en-US" w:eastAsia="zh-CN"/>
        </w:rPr>
        <w:t>分批次验收。</w:t>
      </w:r>
    </w:p>
    <w:p w14:paraId="131C6A8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rPr>
        <w:t>履约验收时间：</w:t>
      </w:r>
      <w:r>
        <w:rPr>
          <w:rFonts w:hint="eastAsia" w:ascii="仿宋" w:hAnsi="仿宋" w:eastAsia="仿宋" w:cs="仿宋"/>
          <w:color w:val="auto"/>
          <w:sz w:val="24"/>
          <w:szCs w:val="24"/>
          <w:highlight w:val="none"/>
          <w:u w:val="none"/>
          <w:shd w:val="clear" w:color="auto" w:fill="auto"/>
          <w:lang w:val="en-US" w:eastAsia="zh-CN"/>
        </w:rPr>
        <w:t>合同期限内，根据采购人要求分批次送货，完成送货、验收入库视为验收完成。</w:t>
      </w:r>
    </w:p>
    <w:p w14:paraId="6E15A6F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rPr>
        <w:t>验收组织的其他事项：</w:t>
      </w:r>
      <w:r>
        <w:rPr>
          <w:rFonts w:hint="eastAsia" w:ascii="仿宋" w:hAnsi="仿宋" w:eastAsia="仿宋" w:cs="仿宋"/>
          <w:color w:val="000000"/>
          <w:sz w:val="24"/>
          <w:szCs w:val="24"/>
          <w:u w:val="none"/>
          <w:lang w:val="en-US" w:eastAsia="zh-CN"/>
        </w:rPr>
        <w:t>无。</w:t>
      </w:r>
    </w:p>
    <w:p w14:paraId="78D556F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4、</w:t>
      </w:r>
      <w:r>
        <w:rPr>
          <w:rFonts w:hint="eastAsia" w:ascii="仿宋" w:hAnsi="仿宋" w:eastAsia="仿宋" w:cs="仿宋"/>
          <w:color w:val="auto"/>
          <w:sz w:val="24"/>
          <w:szCs w:val="24"/>
          <w:highlight w:val="none"/>
          <w:shd w:val="clear" w:color="auto" w:fill="auto"/>
        </w:rPr>
        <w:t>技术履约验收内容：</w:t>
      </w:r>
      <w:r>
        <w:rPr>
          <w:rFonts w:hint="eastAsia" w:ascii="仿宋" w:hAnsi="仿宋" w:eastAsia="仿宋" w:cs="仿宋"/>
          <w:color w:val="auto"/>
          <w:sz w:val="24"/>
          <w:szCs w:val="24"/>
          <w:highlight w:val="none"/>
          <w:u w:val="none"/>
          <w:shd w:val="clear" w:color="auto" w:fill="auto"/>
          <w:lang w:val="en-US" w:eastAsia="zh-CN"/>
        </w:rPr>
        <w:t>采购人按照本项目技术要求进行验收。</w:t>
      </w:r>
    </w:p>
    <w:p w14:paraId="6C05E85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5、</w:t>
      </w:r>
      <w:r>
        <w:rPr>
          <w:rFonts w:hint="eastAsia" w:ascii="仿宋" w:hAnsi="仿宋" w:eastAsia="仿宋" w:cs="仿宋"/>
          <w:color w:val="auto"/>
          <w:sz w:val="24"/>
          <w:szCs w:val="24"/>
          <w:highlight w:val="none"/>
          <w:shd w:val="clear" w:color="auto" w:fill="auto"/>
        </w:rPr>
        <w:t>商务履约验收内容：</w:t>
      </w:r>
      <w:r>
        <w:rPr>
          <w:rFonts w:hint="eastAsia" w:ascii="仿宋" w:hAnsi="仿宋" w:eastAsia="仿宋" w:cs="仿宋"/>
          <w:color w:val="auto"/>
          <w:sz w:val="24"/>
          <w:szCs w:val="24"/>
          <w:highlight w:val="none"/>
          <w:u w:val="none"/>
          <w:shd w:val="clear" w:color="auto" w:fill="auto"/>
          <w:lang w:val="en-US" w:eastAsia="zh-CN"/>
        </w:rPr>
        <w:t>采购人按照本项目商务要求进行验收。</w:t>
      </w:r>
    </w:p>
    <w:p w14:paraId="18DFBC8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sz w:val="24"/>
          <w:szCs w:val="24"/>
          <w:lang w:eastAsia="zh-CN"/>
        </w:rPr>
      </w:pPr>
      <w:r>
        <w:rPr>
          <w:rFonts w:hint="eastAsia" w:ascii="仿宋" w:hAnsi="仿宋" w:eastAsia="仿宋" w:cs="仿宋"/>
          <w:color w:val="auto"/>
          <w:sz w:val="24"/>
          <w:szCs w:val="24"/>
          <w:highlight w:val="none"/>
          <w:shd w:val="clear" w:color="auto" w:fill="auto"/>
          <w:lang w:val="en-US" w:eastAsia="zh-CN"/>
        </w:rPr>
        <w:t>6、</w:t>
      </w:r>
      <w:r>
        <w:rPr>
          <w:rFonts w:hint="eastAsia" w:ascii="仿宋" w:hAnsi="仿宋" w:eastAsia="仿宋" w:cs="仿宋"/>
          <w:color w:val="auto"/>
          <w:sz w:val="24"/>
          <w:szCs w:val="24"/>
          <w:highlight w:val="none"/>
          <w:shd w:val="clear" w:color="auto" w:fill="auto"/>
        </w:rPr>
        <w:t>履约收标准：</w:t>
      </w:r>
      <w:r>
        <w:rPr>
          <w:rFonts w:hint="eastAsia" w:ascii="仿宋" w:hAnsi="仿宋" w:eastAsia="仿宋" w:cs="仿宋"/>
          <w:color w:val="auto"/>
          <w:sz w:val="24"/>
          <w:szCs w:val="24"/>
          <w:highlight w:val="none"/>
          <w:u w:val="none"/>
          <w:shd w:val="clear" w:color="auto" w:fill="auto"/>
          <w:lang w:val="en-US" w:eastAsia="zh-CN"/>
        </w:rPr>
        <w:t>采购人按照本项目合同要求进行验收。</w:t>
      </w:r>
    </w:p>
    <w:p w14:paraId="66B22556">
      <w:pPr>
        <w:bidi w:val="0"/>
        <w:ind w:firstLine="482" w:firstLineChars="200"/>
        <w:rPr>
          <w:rFonts w:hint="eastAsia" w:ascii="仿宋" w:hAnsi="仿宋" w:eastAsia="仿宋" w:cs="仿宋"/>
          <w:b/>
          <w:bCs/>
          <w:kern w:val="0"/>
          <w:sz w:val="24"/>
          <w:szCs w:val="24"/>
          <w:lang w:val="en-US" w:bidi="zh-CN"/>
        </w:rPr>
      </w:pPr>
      <w:r>
        <w:rPr>
          <w:rFonts w:hint="eastAsia" w:ascii="仿宋" w:hAnsi="仿宋" w:eastAsia="仿宋" w:cs="仿宋"/>
          <w:b/>
          <w:bCs/>
          <w:sz w:val="24"/>
          <w:lang w:val="en-US" w:eastAsia="zh-CN"/>
        </w:rPr>
        <w:t>注：</w:t>
      </w:r>
      <w:r>
        <w:rPr>
          <w:rFonts w:hint="eastAsia" w:ascii="仿宋" w:hAnsi="仿宋" w:eastAsia="仿宋" w:cs="仿宋"/>
          <w:b/>
          <w:bCs/>
          <w:kern w:val="0"/>
          <w:sz w:val="24"/>
          <w:szCs w:val="24"/>
          <w:lang w:val="zh-CN" w:bidi="zh-CN"/>
        </w:rPr>
        <w:t>★</w:t>
      </w:r>
      <w:r>
        <w:rPr>
          <w:rFonts w:hint="eastAsia" w:ascii="仿宋" w:hAnsi="仿宋" w:eastAsia="仿宋" w:cs="仿宋"/>
          <w:b/>
          <w:bCs/>
          <w:kern w:val="0"/>
          <w:sz w:val="24"/>
          <w:szCs w:val="24"/>
          <w:lang w:val="en-US" w:bidi="zh-CN"/>
        </w:rPr>
        <w:t>条款为本项目实质性要求，不满足视为无效响应。</w:t>
      </w:r>
    </w:p>
    <w:p w14:paraId="23CA016C">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B5540F"/>
    <w:rsid w:val="09D77D7E"/>
    <w:rsid w:val="0B756B6D"/>
    <w:rsid w:val="0FD4241B"/>
    <w:rsid w:val="16632DA0"/>
    <w:rsid w:val="17B00356"/>
    <w:rsid w:val="18616AAD"/>
    <w:rsid w:val="2A246955"/>
    <w:rsid w:val="34055DB7"/>
    <w:rsid w:val="3D736378"/>
    <w:rsid w:val="43E309DF"/>
    <w:rsid w:val="521E674F"/>
    <w:rsid w:val="52571C47"/>
    <w:rsid w:val="56E42DD6"/>
    <w:rsid w:val="59270E58"/>
    <w:rsid w:val="608A4CFF"/>
    <w:rsid w:val="6CEC76D2"/>
    <w:rsid w:val="703C5414"/>
    <w:rsid w:val="7F894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4216</Words>
  <Characters>4310</Characters>
  <Lines>0</Lines>
  <Paragraphs>0</Paragraphs>
  <TotalTime>0</TotalTime>
  <ScaleCrop>false</ScaleCrop>
  <LinksUpToDate>false</LinksUpToDate>
  <CharactersWithSpaces>4316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2025-08-13T00:47:00Z</dcterms:created>
  <dc:creator>Administrator</dc:creator>
  <cp:lastModifiedBy>四川知行招标</cp:lastModifiedBy>
  <dcterms:modified xsi:type="dcterms:W3CDTF">2026-08-06T07:36:46Z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120750298B304F25A6A2FC324DD9F423_12</vt:lpwstr>
  </property>
  <property fmtid="{D5CDD505-2E9C-101B-9397-08002B2CF9AE}" pid="4" name="KSOTemplateDocerSaveRecord">
    <vt:lpwstr>eyJoZGlkIjoiNjAyZDQ3Y2UxOGE2MzI4YzVlYWRkMmU4Y2EyOTI0MzciLCJ1c2VySWQiOiIyNTQ2NjM5MDgifQ==</vt:lpwstr>
  </property>
</Properties>
</file>