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12"/>
        <w:jc w:val="center"/>
        <w:outlineLvl w:val="0"/>
        <w:rPr>
          <w:rFonts w:hint="eastAsia" w:ascii="仿宋" w:hAnsi="仿宋" w:eastAsia="仿宋" w:cs="仿宋"/>
          <w:highlight w:val="none"/>
        </w:rPr>
      </w:pPr>
      <w:bookmarkStart w:id="0" w:name="_Toc904"/>
      <w:bookmarkStart w:id="1" w:name="_Toc27801"/>
      <w:r>
        <w:rPr>
          <w:rFonts w:hint="eastAsia" w:ascii="仿宋" w:hAnsi="仿宋" w:eastAsia="仿宋" w:cs="仿宋"/>
          <w:b/>
          <w:sz w:val="36"/>
          <w:highlight w:val="none"/>
        </w:rPr>
        <w:t>第三章 技术、服务及其他要求</w:t>
      </w:r>
      <w:bookmarkEnd w:id="0"/>
      <w:bookmarkEnd w:id="1"/>
    </w:p>
    <w:p w14:paraId="2BC6D97B">
      <w:pPr>
        <w:pStyle w:val="12"/>
        <w:spacing w:line="360" w:lineRule="auto"/>
        <w:ind w:firstLine="480"/>
        <w:jc w:val="left"/>
        <w:rPr>
          <w:rFonts w:hint="eastAsia" w:ascii="仿宋" w:hAnsi="仿宋" w:eastAsia="仿宋" w:cs="仿宋"/>
          <w:sz w:val="24"/>
          <w:szCs w:val="24"/>
          <w:highlight w:val="none"/>
        </w:rPr>
      </w:pPr>
    </w:p>
    <w:p w14:paraId="0850A5A1">
      <w:pPr>
        <w:pStyle w:val="12"/>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048B5B3D">
      <w:pPr>
        <w:pStyle w:val="12"/>
        <w:spacing w:line="360" w:lineRule="auto"/>
        <w:ind w:firstLine="482" w:firstLineChars="200"/>
        <w:jc w:val="left"/>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3.1项目情况</w:t>
      </w:r>
    </w:p>
    <w:p w14:paraId="5034F4BF">
      <w:pPr>
        <w:pStyle w:val="12"/>
        <w:spacing w:line="360" w:lineRule="auto"/>
        <w:ind w:firstLine="480" w:firstLineChars="200"/>
        <w:jc w:val="left"/>
        <w:outlineLvl w:val="9"/>
        <w:rPr>
          <w:rFonts w:hint="eastAsia" w:ascii="仿宋" w:hAnsi="仿宋" w:eastAsia="仿宋" w:cs="仿宋"/>
          <w:b/>
          <w:sz w:val="24"/>
          <w:szCs w:val="24"/>
          <w:lang w:val="en-US" w:eastAsia="zh-CN"/>
        </w:rPr>
      </w:pPr>
      <w:r>
        <w:rPr>
          <w:rFonts w:ascii="仿宋" w:hAnsi="仿宋" w:eastAsia="仿宋" w:cs="仿宋"/>
          <w:color w:val="auto"/>
          <w:sz w:val="24"/>
          <w:shd w:val="clear" w:color="auto" w:fill="FFFFFF"/>
        </w:rPr>
        <w:t>为贯彻落实《关于加强数据资产管理的指导意见》财资〔2023〕141号、《关于加强行政事业单位数据资产管理的通知》财资〔2024〕1号、财政部公共数据资源治理成本归集试点相关政策，依据《政府会计制度——行政事业单位会计科目和报表》等法规</w:t>
      </w:r>
      <w:r>
        <w:rPr>
          <w:rFonts w:hint="eastAsia" w:ascii="仿宋" w:hAnsi="仿宋" w:eastAsia="仿宋" w:cs="仿宋"/>
          <w:color w:val="auto"/>
          <w:sz w:val="24"/>
          <w:shd w:val="clear" w:color="auto" w:fill="FFFFFF"/>
        </w:rPr>
        <w:t>，规范医院数据资源会计处理、强化信息披露、真实反映资产价值，结合医院在临床、科研、运营管理等领域积累的海量高价值医疗数据资源，启动数据资源入表专项服务项目，实现数据资源合规确权、分类计量、规范入表与信息披露，支撑医院数字化转型与高质量发展。内江市第一人民医院拟采购一家供应商提供数据资源入表服务。</w:t>
      </w:r>
    </w:p>
    <w:tbl>
      <w:tblPr>
        <w:tblStyle w:val="7"/>
        <w:tblW w:w="4566"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7"/>
        <w:gridCol w:w="2859"/>
        <w:gridCol w:w="1731"/>
        <w:gridCol w:w="948"/>
        <w:gridCol w:w="1517"/>
      </w:tblGrid>
      <w:tr w14:paraId="62A7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50" w:hRule="atLeast"/>
          <w:jc w:val="center"/>
        </w:trPr>
        <w:tc>
          <w:tcPr>
            <w:tcW w:w="467" w:type="pct"/>
            <w:vAlign w:val="center"/>
          </w:tcPr>
          <w:p w14:paraId="02BB9C39">
            <w:pPr>
              <w:pStyle w:val="12"/>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1836" w:type="pct"/>
            <w:vAlign w:val="center"/>
          </w:tcPr>
          <w:p w14:paraId="77075FDB">
            <w:pPr>
              <w:pStyle w:val="12"/>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标的名称</w:t>
            </w:r>
          </w:p>
        </w:tc>
        <w:tc>
          <w:tcPr>
            <w:tcW w:w="1112" w:type="pct"/>
            <w:vAlign w:val="center"/>
          </w:tcPr>
          <w:p w14:paraId="2D0ECB9C">
            <w:pPr>
              <w:pStyle w:val="12"/>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标的金额</w:t>
            </w:r>
          </w:p>
          <w:p w14:paraId="1A7F1A8D">
            <w:pPr>
              <w:pStyle w:val="12"/>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r>
              <w:rPr>
                <w:rFonts w:hint="default" w:ascii="仿宋" w:hAnsi="仿宋" w:eastAsia="仿宋" w:cs="仿宋"/>
                <w:sz w:val="24"/>
                <w:szCs w:val="24"/>
                <w:highlight w:val="none"/>
                <w:lang w:val="en-US" w:eastAsia="zh-CN"/>
              </w:rPr>
              <w:t>万元</w:t>
            </w:r>
            <w:r>
              <w:rPr>
                <w:rFonts w:hint="eastAsia" w:ascii="仿宋" w:hAnsi="仿宋" w:eastAsia="仿宋" w:cs="仿宋"/>
                <w:sz w:val="24"/>
                <w:szCs w:val="24"/>
                <w:lang w:val="en-US" w:eastAsia="zh-CN"/>
              </w:rPr>
              <w:t>）</w:t>
            </w:r>
          </w:p>
        </w:tc>
        <w:tc>
          <w:tcPr>
            <w:tcW w:w="609" w:type="pct"/>
            <w:vAlign w:val="center"/>
          </w:tcPr>
          <w:p w14:paraId="683B703E">
            <w:pPr>
              <w:pStyle w:val="12"/>
              <w:spacing w:line="360" w:lineRule="auto"/>
              <w:jc w:val="center"/>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数量</w:t>
            </w:r>
          </w:p>
        </w:tc>
        <w:tc>
          <w:tcPr>
            <w:tcW w:w="974" w:type="pct"/>
            <w:vAlign w:val="center"/>
          </w:tcPr>
          <w:p w14:paraId="4C869DBD">
            <w:pPr>
              <w:pStyle w:val="12"/>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计量单位</w:t>
            </w:r>
          </w:p>
        </w:tc>
      </w:tr>
      <w:tr w14:paraId="0C26B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67" w:type="pct"/>
            <w:vAlign w:val="center"/>
          </w:tcPr>
          <w:p w14:paraId="7D3C3679">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836" w:type="pct"/>
            <w:vAlign w:val="center"/>
          </w:tcPr>
          <w:p w14:paraId="1179C66D">
            <w:pPr>
              <w:keepNext w:val="0"/>
              <w:keepLines w:val="0"/>
              <w:widowControl/>
              <w:suppressLineNumbers w:val="0"/>
              <w:spacing w:line="36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内江市第一人民医院2026年数据资源入表咨询服务项目</w:t>
            </w:r>
          </w:p>
        </w:tc>
        <w:tc>
          <w:tcPr>
            <w:tcW w:w="1112" w:type="pct"/>
            <w:vAlign w:val="center"/>
          </w:tcPr>
          <w:p w14:paraId="0552ED06">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29</w:t>
            </w:r>
          </w:p>
        </w:tc>
        <w:tc>
          <w:tcPr>
            <w:tcW w:w="609" w:type="pct"/>
            <w:vAlign w:val="center"/>
          </w:tcPr>
          <w:p w14:paraId="32E39A31">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974" w:type="pct"/>
            <w:vAlign w:val="center"/>
          </w:tcPr>
          <w:p w14:paraId="6E424DE8">
            <w:pPr>
              <w:keepNext w:val="0"/>
              <w:keepLines w:val="0"/>
              <w:widowControl/>
              <w:suppressLineNumbers w:val="0"/>
              <w:spacing w:line="36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w:t>
            </w:r>
          </w:p>
        </w:tc>
      </w:tr>
    </w:tbl>
    <w:p w14:paraId="041E7825">
      <w:pPr>
        <w:pStyle w:val="12"/>
        <w:spacing w:line="360" w:lineRule="auto"/>
        <w:ind w:firstLine="482" w:firstLineChars="200"/>
        <w:jc w:val="left"/>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3.2工作目标</w:t>
      </w:r>
    </w:p>
    <w:p w14:paraId="40BE4DAE">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本项目严格遵循《关于加强数据资产管理的指导意见》（财资〔2023〕141号）、《关于加强行政事业单位数据资产管理的通知》（财资〔2024〕1号）、财政部公共数据资源治理成本归集试点相关政策及《政府会计制度——行政事业单位会计科目和报表》相关规定开展工作。</w:t>
      </w:r>
    </w:p>
    <w:p w14:paraId="29308C50">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1.全面梳理全院各类数据资源，明确数据资产范围、边界与权属，完成数据汇聚、整合、加工，打造标准化、高质量数据集产品。</w:t>
      </w:r>
    </w:p>
    <w:p w14:paraId="69DFEC6A">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2.开展全维度数据合规审查与权属确认工作，确保所有拟入账数据资源合法合规、权属清晰。</w:t>
      </w:r>
    </w:p>
    <w:p w14:paraId="72B9FAF5">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3.规范完成数据治理成本归集、资产价值评估、会计核算、财务入账及国有资产登记等全流程工作，将符合确认条件的数据资源纳入医院资产负债表管理，助力医院数字化转型与数据价值释放。</w:t>
      </w:r>
    </w:p>
    <w:p w14:paraId="4A1351E8">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4.验收完成后，应确保数据资产做到账证、账账、账实、财政资产系统数据完全一致。</w:t>
      </w:r>
    </w:p>
    <w:p w14:paraId="1E552679">
      <w:pPr>
        <w:pStyle w:val="12"/>
        <w:spacing w:line="360" w:lineRule="auto"/>
        <w:ind w:firstLine="482" w:firstLineChars="200"/>
        <w:jc w:val="left"/>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★3.3服务内容及要求</w:t>
      </w:r>
    </w:p>
    <w:p w14:paraId="4CEB90F3">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本项目服务严格遵循《关于加强数据资产管理的指导意见》财资〔2023〕141号、《关于加强行政事业单位数据资产管理的通知》财资〔2024〕1号、财政部公共数据资源治理成本归集试点相关政策，依据《政府会计制度——行政事业单位会计科目和报表》等法规，开展内江市第一人民医院数据资源合规确权、分类计量、规范入表与信息披露全流程服务，具体内容及要求如下：</w:t>
      </w:r>
    </w:p>
    <w:p w14:paraId="73B401A0">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（一）数据资源盘点与目录建设</w:t>
      </w:r>
    </w:p>
    <w:p w14:paraId="451C4CB3">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全面梳理医院临床、电子病历、医学影像、检验病理、科研教学、运营管理、行政办公等全量业务系统数据资源，按照会计准则资产确认条件，结合业务部门及外审机构调研，初筛资产化对象，明确拟入表数据资源范围、系统构成、来源类型、数据规模与权属情况。建立医院数据资源“一本账”，编制数据资源总目录、无形资产数据资源清单、存货数据资源清单、未确认资产披露清单，完成数据质量多维度综合评估，输出《数据资源盘点报告》《数据质量评价报告》，确保盘点完整、分类清晰、数据可追溯。</w:t>
      </w:r>
    </w:p>
    <w:p w14:paraId="543465CA">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（二）数据合规与确权</w:t>
      </w:r>
    </w:p>
    <w:p w14:paraId="3EEE10C3">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落实《中华人民共和国数据安全法》《中华人民共和国个人信息保护法》等要求，开展数据来源合规、隐私合规、安全合规、流通合规全维度审查，完成数据脱敏、去标识化、匿名化处理，消除隐私泄露风险。梳理数据权属链条，明确合法持有与控制依据，排查合规隐患并出具《数据合规整改清单》；委托具备资质的律师事务所出具第三方《数据合规法律意见书》，确认数据资源权属合法、来源合规、无法律障碍、符合资产确认前提。协助在合规数据资产登记平台完成数据产权确权、信息填报、备案审核、登记存证与公示，取得《数据产权登记证书》，保障权属合法性与可追溯性。</w:t>
      </w:r>
    </w:p>
    <w:p w14:paraId="553C8CB6">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（三）数据集产品加工</w:t>
      </w:r>
    </w:p>
    <w:p w14:paraId="0FC7253C">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对医院各类数据资源开展系统化汇聚整合、结合医院实际数据场景，通过对医院综合数据资源的梳理，分析，加工等关键环节，形成规范、可用、高质量的数据资源。结合医院业务实际，从准确性、完整性、一致性、时效性、可用性等维度开展数据质量综合评估，建立数据质量管控机制，确保入表数据符合会计准则计量要求，相关加工支出按规定计入资产成本。</w:t>
      </w:r>
    </w:p>
    <w:p w14:paraId="6496834A">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（四）数据资源入表财务处理</w:t>
      </w:r>
    </w:p>
    <w:p w14:paraId="5DD8215A">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资产分类判定：按持有目的与业务模式，将数据资源划分为无形资产（自用、长期持有、非出售）、存货（日常持有、用于出售/对外服务）、开发支出（尚未开发完成的数据产品）。</w:t>
      </w:r>
    </w:p>
    <w:p w14:paraId="2D45EB8B">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初始计量与成本归集：规范归集数据资源全流程成本，外购数据资源归集购买价款、相关税费、加工支出、权属鉴证、质量评估、安全管理等费用；自研数据资源区分研究阶段（支出费用化）、开发阶段（满足资本化条件的支出计入资产成本），确保成本计量准确完整。</w:t>
      </w:r>
    </w:p>
    <w:p w14:paraId="5D55B2A6">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后续计量与核算：对无形资产数据资源合理估计使用寿命、确定摊销方法、定期开展减值测试；对存货数据资源确定发出成本核算方法、计提跌价准备，规范摊销、减值、处置等会计处理。</w:t>
      </w:r>
    </w:p>
    <w:p w14:paraId="432AED58">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列示与披露：按规定在资产负债表无形资产、存货、开发支出项下增设 “其中：数据资源”明细项目；在会计报表附注中按财政部格式强制披露数据资源原值、摊销、减值、账面价值、权属限制、担保情况、研发支出等信息，同时规范自愿披露内容。</w:t>
      </w:r>
    </w:p>
    <w:p w14:paraId="7039A7EF">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成果交付：提供数据资产成本计量、会计政策咨询、成本核算支撑、后续计量依据梳理等服务，配合医院财务及外审机构沟通账务逻辑并澄清，输出《数据资源入表会计处理咨询意见书》。</w:t>
      </w:r>
    </w:p>
    <w:p w14:paraId="0189B35F">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（五）数据资产价值分析</w:t>
      </w:r>
    </w:p>
    <w:p w14:paraId="5B1C5A0D">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委托专业评估团队，结合数据资源现状、应用场景、业务收益及行业特性，采用合适的评估方法，开展数据资产价值测算。评估过程严格遵循会计准则与评估规范，形成客观公允、可支撑入账、披露及审计的价值依据，出具《数据资产估值报告》，满足医院内部管理与数据资源入表需求。</w:t>
      </w:r>
    </w:p>
    <w:p w14:paraId="37B14B5E">
      <w:pPr>
        <w:pStyle w:val="12"/>
        <w:spacing w:line="360" w:lineRule="auto"/>
        <w:ind w:firstLine="482" w:firstLineChars="200"/>
        <w:jc w:val="left"/>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★3.4项目成果</w:t>
      </w:r>
    </w:p>
    <w:p w14:paraId="3D8D87AE">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（一）建立数据资产入表流程：涵盖数据收集盘点治理和确权价值分析及会计处理等关键环节，实现数据资产的规范化管理。</w:t>
      </w:r>
    </w:p>
    <w:p w14:paraId="024B0479">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1.提升数据质量：通过数据治理，生成高质量的数据元件，提高数据的可用性与可信度，为数据应用提供有力支持。</w:t>
      </w:r>
    </w:p>
    <w:p w14:paraId="4BC4A109">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2.明确数据应用场景：分析数据在多个业务领域的应用场景，推动数据价值的挖掘与利用，为医院管理决策提供科学依据。</w:t>
      </w:r>
    </w:p>
    <w:p w14:paraId="23949278">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3.确保数据合规性：对数据来源及开发利用等环节进行合规性审查，建立合规性监控机制，保障数据的合法合规使用，降低医院法律风险。</w:t>
      </w:r>
    </w:p>
    <w:p w14:paraId="2D7C8AD5">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（二）实现数据资源入表：完成数据资源的价值分析与会计处理，实现数据资产在财务报表中的准确反映，提升医院资产价值。</w:t>
      </w:r>
    </w:p>
    <w:p w14:paraId="08CB4541">
      <w:pPr>
        <w:pStyle w:val="12"/>
        <w:spacing w:line="360" w:lineRule="auto"/>
        <w:ind w:firstLine="480"/>
        <w:rPr>
          <w:rFonts w:hint="eastAsia" w:ascii="仿宋" w:hAnsi="仿宋" w:eastAsia="仿宋" w:cs="仿宋"/>
          <w:b w:val="0"/>
          <w:bCs/>
          <w:sz w:val="24"/>
          <w:highlight w:val="none"/>
        </w:rPr>
      </w:pPr>
      <w:r>
        <w:rPr>
          <w:rFonts w:hint="eastAsia" w:ascii="仿宋" w:hAnsi="仿宋" w:eastAsia="仿宋" w:cs="仿宋"/>
          <w:b w:val="0"/>
          <w:bCs/>
          <w:sz w:val="24"/>
          <w:highlight w:val="none"/>
        </w:rPr>
        <w:t>（三）项目成果文件：包含不限于《数据资源盘点报告》《数据质量评价报告》《数据产品白皮书》《数据合规法律意见书》《数据资源入表会计处理咨询意见书》《数据资产估值报告》《数据产权登记证书》《结项报告》。</w:t>
      </w:r>
    </w:p>
    <w:p w14:paraId="6695428A">
      <w:pPr>
        <w:pStyle w:val="12"/>
        <w:spacing w:line="360" w:lineRule="auto"/>
        <w:ind w:firstLine="480"/>
        <w:outlineLvl w:val="1"/>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4"/>
          <w:highlight w:val="none"/>
        </w:rPr>
        <w:t>★</w:t>
      </w:r>
      <w:r>
        <w:rPr>
          <w:rFonts w:hint="eastAsia" w:ascii="仿宋" w:hAnsi="仿宋" w:eastAsia="仿宋" w:cs="仿宋"/>
          <w:b/>
          <w:sz w:val="24"/>
          <w:highlight w:val="none"/>
          <w:lang w:val="en-US" w:eastAsia="zh-CN"/>
        </w:rPr>
        <w:t>3.5商务</w:t>
      </w:r>
      <w:r>
        <w:rPr>
          <w:rFonts w:hint="eastAsia" w:ascii="仿宋" w:hAnsi="仿宋" w:eastAsia="仿宋" w:cs="仿宋"/>
          <w:b/>
          <w:sz w:val="24"/>
          <w:highlight w:val="none"/>
        </w:rPr>
        <w:t>要求</w:t>
      </w:r>
      <w:r>
        <w:rPr>
          <w:rFonts w:hint="eastAsia" w:ascii="仿宋" w:hAnsi="仿宋" w:eastAsia="仿宋" w:cs="仿宋"/>
          <w:b/>
          <w:bCs/>
          <w:color w:val="000000"/>
          <w:sz w:val="24"/>
          <w:szCs w:val="24"/>
          <w:highlight w:val="none"/>
          <w:lang w:val="en-US" w:eastAsia="zh-CN"/>
        </w:rPr>
        <w:t>：</w:t>
      </w:r>
    </w:p>
    <w:p w14:paraId="061DA8BC">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（一）服务期限：本合同生效之日起，120个工作日内完成全部成果交付。</w:t>
      </w:r>
    </w:p>
    <w:p w14:paraId="3E21A3D6">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（二）服务地点：内江市第一人民医院。</w:t>
      </w:r>
    </w:p>
    <w:p w14:paraId="750E87F9">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（三）结算要求</w:t>
      </w:r>
    </w:p>
    <w:p w14:paraId="1189390E">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本项目根据最终资产评估金额分档结算服务费。具体为：资产评估金额达到4000万元及以上结算合同总金额的100%；资产评估金额达到3500万元（含）至4000万元（不含）结算合同总金额的90%；资产评估金额达到3000万元（含）至3500万元（不含）结算合同总金额的80%；资产评估金额达到2500万元（含）至3000万元（不含）结算合同总金额的70%；资产评估金额达到2000万元（含）至2500万元（不含）结算合同总金额的60%；资产评估金额达到1500万元（含）至2000万元（不含）结算合同总金额的50%；资产评估金额达到1500万元（不含）以下结算合同总金额的40%，若最终评估金额低于4000万元，不视为供应商违约，但采购人有权按上述结算要求结算服务费。</w:t>
      </w:r>
    </w:p>
    <w:p w14:paraId="7BC85679">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（四）付款方式：</w:t>
      </w:r>
    </w:p>
    <w:p w14:paraId="087BB5C0">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1.本项目根据最终资产评估金额分档支付服务费。具体为：资产评估金额达到4000万元及以上支付合同总金额的100%；资产评估金额达到3500万元（含）至4000万元（不含）支付合同总金额的90%；资产评估金额达到3000万元（含）至3500万元（不含）支付合同总金额的80%；资产评估金额达到2500万元（含）至3000万元（不含）支付合同总金额的70%；资产评估金额达到2000万元（含）至2500万元（不含）支付合同总金额的60%；资产评估金额达到1500万元（含）至2000万元（不含）支付合同总金额的50%；资产评估金额达到1500万元（不含）以下支付合同总金额的40%，若最终评估金额低于4000万元，不视为供应商违约，但采购人有权按上述付款要求支付服务费。</w:t>
      </w:r>
    </w:p>
    <w:p w14:paraId="19AFE925">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2.项目验收合格，且采购人收到供应商开具的增值税专用发票后30个工作日内，采购人按照约定的支付要求支付服务费。</w:t>
      </w:r>
    </w:p>
    <w:p w14:paraId="317E383A">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3.付款前，供应商须向采购人提供等额、有效的正规税务发票。供应商未能按照约定提供正规发票和有关单据的，采购人有权拒绝支付相应款项且不承担违约责任。</w:t>
      </w:r>
    </w:p>
    <w:p w14:paraId="2FAC65F8">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五）本项目报价是供应商全部完成本项目所有内容的全部工作的综合最终报价，包括供应商履约过程中的人工（含临时劳务用工）、设备、差旅、保险、税金、维护、后期服务（如有）、利润及与供应商履约本项目所需要的其他所有费用。采购人在项目结算时不再向供应商支付其他任何增项费用。</w:t>
      </w:r>
    </w:p>
    <w:p w14:paraId="6CF2D65C">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（六）履约验收：严格按照相关法律法规和本项目采购文件的技术、服务要求以及供应商响应文件、承诺及合同约定标准进行验收。</w:t>
      </w:r>
    </w:p>
    <w:p w14:paraId="5CDF6BCF">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（七）违约责任与解决争议的方法</w:t>
      </w:r>
    </w:p>
    <w:p w14:paraId="30130877">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1.采购人违约责任</w:t>
      </w:r>
    </w:p>
    <w:p w14:paraId="5FE29757">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（1）采购人无正当理由拒绝供应商服务的，且采购人单方面解除采购合同，采购人应按合同金额的30％支付违约金；</w:t>
      </w:r>
    </w:p>
    <w:p w14:paraId="6019E9B6">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（2）采购人无正当理由不同意供应商进场履约或拒签合同的，应支付合同金额10%的违约金。</w:t>
      </w:r>
    </w:p>
    <w:p w14:paraId="3EF8E2EE">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2.供应商违约责任</w:t>
      </w:r>
    </w:p>
    <w:p w14:paraId="4B106C29">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（1）供应商签订合同后拒不履约的，应按合同金额的15%支付违约金，同时采购人有权单方面解除合同；</w:t>
      </w:r>
    </w:p>
    <w:p w14:paraId="3E41FAB1">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（2）供应商逾期履约，应按合同总金额1‰/日支付违约金。供应商逾期提供服务超过20天，采购人有权单方面解除合同，同时供应商除应返还采购人已支付的全部款项，还应当按照合同金额的10%支付违约金；</w:t>
      </w:r>
    </w:p>
    <w:p w14:paraId="571C5E33">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（3）供应商有其他违约行为的，应按合同金额的10%支付违约金；</w:t>
      </w:r>
    </w:p>
    <w:p w14:paraId="740B9357">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4）如因供应商工作人员在履行职务过程中的疏忽、失职、过错等故意或者过失原因给采购人或第三人造成损失或侵害，供应商应赔偿采购人全部损失，包括但不限于采购人本身的财产损失、由此而导致的采购人对任何第三方的法律责任等；</w:t>
      </w:r>
    </w:p>
    <w:p w14:paraId="17F3DE3B">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（5）供应商支付的违约金不足以弥补采购人全部损失的，还应赔偿采购人全部损失；</w:t>
      </w:r>
    </w:p>
    <w:p w14:paraId="06D3BDF9">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6）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66B7CC10">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（7）采购合同所涉各类违约金应于违约事项出现之日起30日内支付。</w:t>
      </w:r>
    </w:p>
    <w:p w14:paraId="7310CCBB">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3.解决争议的方法</w:t>
      </w:r>
    </w:p>
    <w:p w14:paraId="554AD22D">
      <w:pPr>
        <w:pStyle w:val="12"/>
        <w:spacing w:line="360" w:lineRule="auto"/>
        <w:ind w:firstLine="480"/>
        <w:jc w:val="left"/>
        <w:outlineLvl w:val="9"/>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bidi="ar"/>
        </w:rPr>
        <w:t>在执行合同中发生的与本合同有关的争端，双方应通过友好协商解决，经协商不能达成协议时，任意一方均可向采购人所在地人民法院提起诉讼。在诉讼期间，除正在进行诉讼部分外，合同其他部分继续执行。</w:t>
      </w:r>
    </w:p>
    <w:p w14:paraId="11B99283">
      <w:pPr>
        <w:pStyle w:val="12"/>
        <w:spacing w:line="360" w:lineRule="auto"/>
        <w:ind w:firstLine="480"/>
        <w:jc w:val="left"/>
        <w:outlineLvl w:val="9"/>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auto"/>
          <w:sz w:val="24"/>
          <w:szCs w:val="24"/>
          <w:highlight w:val="none"/>
          <w:u w:val="none"/>
          <w:lang w:val="en-US" w:eastAsia="zh-CN" w:bidi="ar"/>
        </w:rPr>
        <w:t>（八）其他未尽事宜以合同约定为准。</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0"/>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C7BAC"/>
    <w:rsid w:val="01BC7BAC"/>
    <w:rsid w:val="05D33A24"/>
    <w:rsid w:val="06F145CF"/>
    <w:rsid w:val="0C685E53"/>
    <w:rsid w:val="0CDE7168"/>
    <w:rsid w:val="10A06571"/>
    <w:rsid w:val="111A7AA4"/>
    <w:rsid w:val="147A5D8C"/>
    <w:rsid w:val="1CAB1FF4"/>
    <w:rsid w:val="21082669"/>
    <w:rsid w:val="37647A49"/>
    <w:rsid w:val="39395702"/>
    <w:rsid w:val="3A184B1B"/>
    <w:rsid w:val="3DC96858"/>
    <w:rsid w:val="3E61611F"/>
    <w:rsid w:val="3F0A537A"/>
    <w:rsid w:val="4E79030C"/>
    <w:rsid w:val="5B593C39"/>
    <w:rsid w:val="64DE70C9"/>
    <w:rsid w:val="662F490F"/>
    <w:rsid w:val="6E6C09B6"/>
    <w:rsid w:val="70B84386"/>
    <w:rsid w:val="77F024CD"/>
    <w:rsid w:val="7A6D5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1"/>
    <w:basedOn w:val="1"/>
    <w:next w:val="1"/>
    <w:qFormat/>
    <w:uiPriority w:val="0"/>
    <w:pPr>
      <w:widowControl w:val="0"/>
      <w:autoSpaceDE/>
      <w:autoSpaceDN/>
      <w:spacing w:before="0" w:after="0" w:line="240" w:lineRule="auto"/>
      <w:ind w:left="0" w:firstLine="5632"/>
      <w:jc w:val="both"/>
    </w:pPr>
  </w:style>
  <w:style w:type="paragraph" w:styleId="6">
    <w:name w:val="Body Text First Indent"/>
    <w:basedOn w:val="2"/>
    <w:next w:val="1"/>
    <w:qFormat/>
    <w:uiPriority w:val="99"/>
    <w:pPr>
      <w:tabs>
        <w:tab w:val="left" w:pos="780"/>
      </w:tabs>
      <w:spacing w:after="120"/>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标题 5（有编号）（绿盟科技）"/>
    <w:basedOn w:val="1"/>
    <w:next w:val="11"/>
    <w:qFormat/>
    <w:uiPriority w:val="99"/>
    <w:pPr>
      <w:keepNext/>
      <w:keepLines/>
      <w:numPr>
        <w:ilvl w:val="4"/>
        <w:numId w:val="1"/>
      </w:numPr>
      <w:spacing w:before="280" w:after="156" w:line="377" w:lineRule="auto"/>
      <w:jc w:val="left"/>
      <w:outlineLvl w:val="4"/>
    </w:pPr>
    <w:rPr>
      <w:rFonts w:ascii="Arial" w:hAnsi="Arial" w:eastAsia="黑体" w:cs="Arial"/>
      <w:b/>
      <w:bCs/>
      <w:sz w:val="24"/>
      <w:szCs w:val="24"/>
    </w:rPr>
  </w:style>
  <w:style w:type="paragraph" w:customStyle="1" w:styleId="11">
    <w:name w:val="正文（绿盟科技）"/>
    <w:next w:val="1"/>
    <w:qFormat/>
    <w:uiPriority w:val="99"/>
    <w:pPr>
      <w:spacing w:line="300" w:lineRule="auto"/>
    </w:pPr>
    <w:rPr>
      <w:rFonts w:ascii="Arial" w:hAnsi="Arial" w:eastAsia="宋体" w:cs="Arial"/>
      <w:kern w:val="0"/>
      <w:sz w:val="21"/>
      <w:szCs w:val="21"/>
      <w:lang w:val="en-US" w:eastAsia="zh-CN" w:bidi="ar-SA"/>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4229</Words>
  <Characters>4377</Characters>
  <Lines>0</Lines>
  <Paragraphs>0</Paragraphs>
  <TotalTime>0</TotalTime>
  <ScaleCrop>false</ScaleCrop>
  <LinksUpToDate>false</LinksUpToDate>
  <CharactersWithSpaces>4382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2025-05-20T03:11:00Z</dcterms:created>
  <dc:creator>SJ</dc:creator>
  <cp:lastModifiedBy>SJ</cp:lastModifiedBy>
  <dcterms:modified xsi:type="dcterms:W3CDTF">2026-07-31T09:04:31Z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B71F2C44AE354D76930F3A43A55D01B3_11</vt:lpwstr>
  </property>
  <property fmtid="{D5CDD505-2E9C-101B-9397-08002B2CF9AE}" pid="4" name="KSOTemplateDocerSaveRecord">
    <vt:lpwstr>eyJoZGlkIjoiZWIwMTNhOTdmNmQ0MWY2MDQ2NmRjOWU3OGRjMTRlY2YiLCJ1c2VySWQiOiIyNTYwMTc2MTQifQ==</vt:lpwstr>
  </property>
</Properties>
</file>