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9E71F">
      <w:pPr>
        <w:pStyle w:val="6"/>
        <w:jc w:val="center"/>
        <w:outlineLvl w:val="0"/>
        <w:rPr>
          <w:rFonts w:hint="eastAsia" w:ascii="宋体" w:hAnsi="宋体" w:eastAsia="宋体" w:cs="宋体"/>
          <w:b/>
          <w:color w:val="auto"/>
          <w:sz w:val="28"/>
          <w:szCs w:val="28"/>
          <w:highlight w:val="none"/>
        </w:rPr>
      </w:pPr>
      <w:bookmarkStart w:id="0" w:name="_Toc2844"/>
      <w:bookmarkStart w:id="1" w:name="_Toc17849"/>
      <w:bookmarkStart w:id="2" w:name="_Toc994"/>
      <w:bookmarkStart w:id="3" w:name="_Toc23634"/>
      <w:bookmarkStart w:id="4" w:name="_Toc393"/>
      <w:bookmarkStart w:id="5" w:name="_Toc26055"/>
      <w:bookmarkStart w:id="6" w:name="_Toc19082"/>
      <w:bookmarkStart w:id="7" w:name="_Toc13401"/>
      <w:r>
        <w:rPr>
          <w:rFonts w:hint="eastAsia" w:ascii="宋体" w:hAnsi="宋体" w:eastAsia="宋体" w:cs="宋体"/>
          <w:b/>
          <w:color w:val="auto"/>
          <w:sz w:val="28"/>
          <w:szCs w:val="28"/>
          <w:highlight w:val="none"/>
        </w:rPr>
        <w:t>第三章 技术、服务及其他要求</w:t>
      </w:r>
      <w:bookmarkEnd w:id="0"/>
      <w:bookmarkEnd w:id="1"/>
      <w:bookmarkEnd w:id="2"/>
      <w:bookmarkEnd w:id="3"/>
      <w:bookmarkEnd w:id="4"/>
      <w:bookmarkEnd w:id="5"/>
      <w:bookmarkEnd w:id="6"/>
      <w:bookmarkEnd w:id="7"/>
    </w:p>
    <w:p w14:paraId="50E79BAB">
      <w:pPr>
        <w:pStyle w:val="6"/>
        <w:spacing w:line="460" w:lineRule="atLeast"/>
        <w:ind w:firstLine="482" w:firstLineChars="200"/>
        <w:jc w:val="left"/>
        <w:outlineLvl w:val="2"/>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一、项目概况</w:t>
      </w:r>
    </w:p>
    <w:p w14:paraId="23A81A8B">
      <w:pPr>
        <w:pStyle w:val="6"/>
        <w:spacing w:line="460" w:lineRule="atLeast"/>
        <w:ind w:firstLine="480" w:firstLineChars="200"/>
        <w:jc w:val="left"/>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拟建设住院药学监护系统。 </w:t>
      </w:r>
    </w:p>
    <w:p w14:paraId="2F5F9A27">
      <w:pPr>
        <w:pStyle w:val="6"/>
        <w:spacing w:line="460" w:lineRule="atLeast"/>
        <w:ind w:firstLine="480" w:firstLineChars="200"/>
        <w:jc w:val="left"/>
        <w:outlineLvl w:val="2"/>
        <w:rPr>
          <w:rFonts w:hint="eastAsia" w:ascii="宋体" w:hAnsi="宋体" w:eastAsia="宋体" w:cs="宋体"/>
          <w:b/>
          <w:color w:val="auto"/>
          <w:sz w:val="24"/>
          <w:szCs w:val="24"/>
          <w:highlight w:val="none"/>
          <w:lang w:eastAsia="zh-CN"/>
        </w:rPr>
      </w:pPr>
      <w:r>
        <w:rPr>
          <w:rFonts w:hint="eastAsia" w:ascii="宋体" w:hAnsi="宋体" w:eastAsia="宋体" w:cs="宋体"/>
          <w:b w:val="0"/>
          <w:bCs/>
          <w:color w:val="auto"/>
          <w:sz w:val="24"/>
          <w:szCs w:val="24"/>
          <w:highlight w:val="none"/>
          <w:lang w:eastAsia="zh-CN"/>
        </w:rPr>
        <w:t>二</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标的情况</w:t>
      </w:r>
      <w:r>
        <w:rPr>
          <w:rFonts w:hint="eastAsia" w:ascii="宋体" w:hAnsi="宋体" w:eastAsia="宋体" w:cs="宋体"/>
          <w:b/>
          <w:color w:val="auto"/>
          <w:sz w:val="24"/>
          <w:szCs w:val="24"/>
          <w:highlight w:val="none"/>
          <w:lang w:eastAsia="zh-CN"/>
        </w:rPr>
        <w:t>：</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81"/>
        <w:gridCol w:w="600"/>
        <w:gridCol w:w="2850"/>
        <w:gridCol w:w="1335"/>
        <w:gridCol w:w="481"/>
        <w:gridCol w:w="481"/>
        <w:gridCol w:w="2318"/>
      </w:tblGrid>
      <w:tr w14:paraId="039B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2" w:hRule="atLeast"/>
          <w:tblHeader/>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630169A">
            <w:pPr>
              <w:spacing w:line="400" w:lineRule="exact"/>
              <w:jc w:val="center"/>
              <w:rPr>
                <w:rFonts w:hint="eastAsia" w:asciiTheme="majorEastAsia" w:hAnsiTheme="majorEastAsia" w:eastAsiaTheme="majorEastAsia" w:cstheme="majorEastAsia"/>
                <w:b/>
                <w:bCs/>
                <w:color w:val="auto"/>
                <w:sz w:val="24"/>
                <w:szCs w:val="24"/>
                <w:highlight w:val="none"/>
                <w:shd w:val="clear" w:color="auto" w:fill="auto"/>
                <w:lang w:val="en-US" w:eastAsia="zh-CN"/>
              </w:rPr>
            </w:pPr>
            <w:r>
              <w:rPr>
                <w:rFonts w:hint="eastAsia" w:asciiTheme="majorEastAsia" w:hAnsiTheme="majorEastAsia" w:eastAsiaTheme="majorEastAsia" w:cstheme="majorEastAsia"/>
                <w:b/>
                <w:bCs/>
                <w:color w:val="auto"/>
                <w:sz w:val="24"/>
                <w:szCs w:val="24"/>
                <w:highlight w:val="none"/>
                <w:shd w:val="clear" w:color="auto" w:fill="auto"/>
                <w:lang w:val="en-US" w:eastAsia="zh-CN"/>
              </w:rPr>
              <w:t>包号</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5919D97">
            <w:pPr>
              <w:spacing w:line="400" w:lineRule="exact"/>
              <w:jc w:val="center"/>
              <w:rPr>
                <w:rFonts w:hint="eastAsia" w:asciiTheme="majorEastAsia" w:hAnsiTheme="majorEastAsia" w:eastAsiaTheme="majorEastAsia" w:cstheme="majorEastAsia"/>
                <w:b/>
                <w:bCs/>
                <w:color w:val="auto"/>
                <w:sz w:val="24"/>
                <w:szCs w:val="24"/>
                <w:highlight w:val="none"/>
                <w:shd w:val="clear" w:color="auto" w:fill="auto"/>
                <w:lang w:val="en-US" w:eastAsia="zh-CN"/>
              </w:rPr>
            </w:pPr>
            <w:r>
              <w:rPr>
                <w:rFonts w:hint="eastAsia" w:asciiTheme="majorEastAsia" w:hAnsiTheme="majorEastAsia" w:eastAsiaTheme="majorEastAsia" w:cstheme="majorEastAsia"/>
                <w:b/>
                <w:bCs/>
                <w:color w:val="auto"/>
                <w:sz w:val="24"/>
                <w:szCs w:val="24"/>
                <w:highlight w:val="none"/>
                <w:shd w:val="clear" w:color="auto" w:fill="auto"/>
                <w:lang w:val="en-US" w:eastAsia="zh-CN"/>
              </w:rPr>
              <w:t>编号</w:t>
            </w:r>
          </w:p>
        </w:tc>
        <w:tc>
          <w:tcPr>
            <w:tcW w:w="29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248EB08">
            <w:pPr>
              <w:spacing w:line="400" w:lineRule="exact"/>
              <w:jc w:val="center"/>
              <w:rPr>
                <w:rFonts w:hint="eastAsia" w:asciiTheme="majorEastAsia" w:hAnsiTheme="majorEastAsia" w:eastAsiaTheme="majorEastAsia" w:cstheme="majorEastAsia"/>
                <w:b/>
                <w:bCs/>
                <w:color w:val="auto"/>
                <w:sz w:val="24"/>
                <w:szCs w:val="24"/>
                <w:highlight w:val="none"/>
                <w:shd w:val="clear" w:color="auto" w:fill="auto"/>
                <w:lang w:val="en-US" w:eastAsia="zh-CN"/>
              </w:rPr>
            </w:pPr>
            <w:r>
              <w:rPr>
                <w:rFonts w:hint="eastAsia" w:asciiTheme="majorEastAsia" w:hAnsiTheme="majorEastAsia" w:eastAsiaTheme="majorEastAsia" w:cstheme="majorEastAsia"/>
                <w:b/>
                <w:bCs/>
                <w:color w:val="auto"/>
                <w:sz w:val="24"/>
                <w:szCs w:val="24"/>
                <w:highlight w:val="none"/>
                <w:shd w:val="clear" w:color="auto" w:fill="auto"/>
                <w:lang w:val="en-US" w:eastAsia="zh-CN"/>
              </w:rPr>
              <w:t>标的名称</w:t>
            </w:r>
          </w:p>
        </w:tc>
        <w:tc>
          <w:tcPr>
            <w:tcW w:w="134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0885CEC">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bCs/>
                <w:color w:val="auto"/>
                <w:sz w:val="24"/>
                <w:szCs w:val="24"/>
                <w:highlight w:val="none"/>
                <w:shd w:val="clear" w:color="auto" w:fill="auto"/>
              </w:rPr>
              <w:t>单价（元）</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2B25FD5">
            <w:pPr>
              <w:spacing w:line="400" w:lineRule="exact"/>
              <w:jc w:val="center"/>
              <w:rPr>
                <w:rFonts w:hint="eastAsia" w:asciiTheme="majorEastAsia" w:hAnsiTheme="majorEastAsia" w:eastAsiaTheme="majorEastAsia" w:cstheme="majorEastAsia"/>
                <w:b/>
                <w:bCs/>
                <w:color w:val="auto"/>
                <w:sz w:val="24"/>
                <w:szCs w:val="24"/>
                <w:highlight w:val="none"/>
                <w:shd w:val="clear" w:color="auto" w:fill="auto"/>
                <w:lang w:val="en-US" w:eastAsia="zh-CN"/>
              </w:rPr>
            </w:pPr>
            <w:r>
              <w:rPr>
                <w:rFonts w:hint="eastAsia" w:asciiTheme="majorEastAsia" w:hAnsiTheme="majorEastAsia" w:eastAsiaTheme="majorEastAsia" w:cstheme="majorEastAsia"/>
                <w:b/>
                <w:bCs/>
                <w:color w:val="auto"/>
                <w:sz w:val="24"/>
                <w:szCs w:val="24"/>
                <w:highlight w:val="none"/>
                <w:shd w:val="clear" w:color="auto" w:fill="auto"/>
                <w:lang w:val="en-US" w:eastAsia="zh-CN"/>
              </w:rPr>
              <w:t>数量</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9D42554">
            <w:pPr>
              <w:spacing w:line="400" w:lineRule="exact"/>
              <w:jc w:val="center"/>
              <w:rPr>
                <w:rFonts w:hint="eastAsia" w:asciiTheme="majorEastAsia" w:hAnsiTheme="majorEastAsia" w:eastAsiaTheme="majorEastAsia" w:cstheme="majorEastAsia"/>
                <w:b/>
                <w:bCs/>
                <w:color w:val="auto"/>
                <w:sz w:val="24"/>
                <w:szCs w:val="24"/>
                <w:highlight w:val="none"/>
                <w:shd w:val="clear" w:color="auto" w:fill="auto"/>
                <w:lang w:val="en-US" w:eastAsia="zh-CN"/>
              </w:rPr>
            </w:pPr>
            <w:r>
              <w:rPr>
                <w:rFonts w:hint="eastAsia" w:asciiTheme="majorEastAsia" w:hAnsiTheme="majorEastAsia" w:eastAsiaTheme="majorEastAsia" w:cstheme="majorEastAsia"/>
                <w:b/>
                <w:bCs/>
                <w:color w:val="auto"/>
                <w:sz w:val="24"/>
                <w:szCs w:val="24"/>
                <w:highlight w:val="none"/>
                <w:shd w:val="clear" w:color="auto" w:fill="auto"/>
                <w:lang w:val="en-US" w:eastAsia="zh-CN"/>
              </w:rPr>
              <w:t>计量单位</w:t>
            </w:r>
          </w:p>
        </w:tc>
        <w:tc>
          <w:tcPr>
            <w:tcW w:w="236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7E8F073">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bCs/>
                <w:color w:val="auto"/>
                <w:sz w:val="24"/>
                <w:szCs w:val="24"/>
                <w:highlight w:val="none"/>
                <w:shd w:val="clear" w:color="auto" w:fill="auto"/>
              </w:rPr>
              <w:t>标的金额（元）</w:t>
            </w:r>
          </w:p>
        </w:tc>
      </w:tr>
      <w:tr w14:paraId="3570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4DA1E83">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B048559">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t>1-1</w:t>
            </w:r>
          </w:p>
        </w:tc>
        <w:tc>
          <w:tcPr>
            <w:tcW w:w="29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11AC7CE">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t>内江市第一人民医院住院药学监护系统采购项目</w:t>
            </w:r>
          </w:p>
        </w:tc>
        <w:tc>
          <w:tcPr>
            <w:tcW w:w="134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21D60FE">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val="0"/>
                <w:bCs w:val="0"/>
                <w:color w:val="auto"/>
                <w:sz w:val="24"/>
                <w:szCs w:val="24"/>
                <w:highlight w:val="none"/>
                <w:shd w:val="clear" w:color="auto" w:fill="auto"/>
              </w:rPr>
              <w:t>190000</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70AB67">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t>1</w:t>
            </w:r>
          </w:p>
        </w:tc>
        <w:tc>
          <w:tcPr>
            <w:tcW w:w="0" w:type="auto"/>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DB9EE33">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t>项</w:t>
            </w:r>
          </w:p>
        </w:tc>
        <w:tc>
          <w:tcPr>
            <w:tcW w:w="236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211CBD0">
            <w:pPr>
              <w:spacing w:line="400" w:lineRule="exact"/>
              <w:jc w:val="center"/>
              <w:rPr>
                <w:rFonts w:hint="eastAsia" w:asciiTheme="majorEastAsia" w:hAnsiTheme="majorEastAsia" w:eastAsiaTheme="majorEastAsia" w:cstheme="majorEastAsia"/>
                <w:b w:val="0"/>
                <w:bCs w:val="0"/>
                <w:color w:val="auto"/>
                <w:sz w:val="24"/>
                <w:szCs w:val="24"/>
                <w:highlight w:val="none"/>
                <w:shd w:val="clear" w:color="auto" w:fill="auto"/>
                <w:lang w:val="en-US" w:eastAsia="zh-CN"/>
              </w:rPr>
            </w:pPr>
            <w:r>
              <w:rPr>
                <w:rFonts w:hint="eastAsia" w:asciiTheme="majorEastAsia" w:hAnsiTheme="majorEastAsia" w:eastAsiaTheme="majorEastAsia" w:cstheme="majorEastAsia"/>
                <w:b w:val="0"/>
                <w:bCs w:val="0"/>
                <w:color w:val="auto"/>
                <w:sz w:val="24"/>
                <w:szCs w:val="24"/>
                <w:highlight w:val="none"/>
                <w:shd w:val="clear" w:color="auto" w:fill="auto"/>
              </w:rPr>
              <w:t>190000</w:t>
            </w:r>
          </w:p>
        </w:tc>
      </w:tr>
    </w:tbl>
    <w:p w14:paraId="09AB182D">
      <w:pPr>
        <w:keepNext w:val="0"/>
        <w:keepLines w:val="0"/>
        <w:widowControl/>
        <w:numPr>
          <w:ilvl w:val="-1"/>
          <w:numId w:val="0"/>
        </w:numPr>
        <w:suppressLineNumbers w:val="0"/>
        <w:spacing w:line="460" w:lineRule="atLeast"/>
        <w:ind w:firstLine="482" w:firstLineChars="200"/>
        <w:jc w:val="left"/>
        <w:textAlignment w:val="center"/>
        <w:rPr>
          <w:rFonts w:hint="eastAsia" w:ascii="宋体" w:hAnsi="宋体" w:eastAsia="宋体" w:cs="宋体"/>
          <w:b/>
          <w:bCs/>
          <w:i w:val="0"/>
          <w:color w:val="auto"/>
          <w:kern w:val="0"/>
          <w:sz w:val="24"/>
          <w:szCs w:val="24"/>
          <w:highlight w:val="none"/>
          <w:u w:val="none"/>
          <w:lang w:val="en-US" w:eastAsia="zh-CN" w:bidi="ar"/>
        </w:rPr>
      </w:pPr>
      <w:r>
        <w:rPr>
          <w:rFonts w:hint="eastAsia" w:ascii="宋体" w:hAnsi="宋体" w:cs="宋体"/>
          <w:b/>
          <w:bCs/>
          <w:i w:val="0"/>
          <w:color w:val="auto"/>
          <w:kern w:val="0"/>
          <w:sz w:val="24"/>
          <w:szCs w:val="24"/>
          <w:highlight w:val="none"/>
          <w:u w:val="none"/>
          <w:lang w:val="en-US" w:eastAsia="zh-CN" w:bidi="ar"/>
        </w:rPr>
        <w:t>三、</w:t>
      </w:r>
      <w:r>
        <w:rPr>
          <w:rFonts w:hint="eastAsia" w:ascii="宋体" w:hAnsi="宋体" w:eastAsia="宋体" w:cs="宋体"/>
          <w:b/>
          <w:bCs/>
          <w:i w:val="0"/>
          <w:color w:val="auto"/>
          <w:kern w:val="0"/>
          <w:sz w:val="24"/>
          <w:szCs w:val="24"/>
          <w:highlight w:val="none"/>
          <w:u w:val="none"/>
          <w:lang w:val="en-US" w:eastAsia="zh-CN" w:bidi="ar"/>
        </w:rPr>
        <w:t>技术要求</w:t>
      </w:r>
    </w:p>
    <w:p w14:paraId="3768F87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临床药师工作站功能要求</w:t>
      </w:r>
    </w:p>
    <w:p w14:paraId="3AA52DF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1.患者档案</w:t>
      </w:r>
    </w:p>
    <w:p w14:paraId="7561151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1.1.系统应能提供患者个人档案，方便药师查看患者历次就诊记录、药学服务记录。</w:t>
      </w:r>
    </w:p>
    <w:p w14:paraId="057692D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1.2.患者档案应包括个人信息、过敏史、药品不良反应史、基因检测、既往手术史、既往病史、诊疗记录等，药师可编辑。</w:t>
      </w:r>
    </w:p>
    <w:p w14:paraId="6E387B7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2.监护范围</w:t>
      </w:r>
    </w:p>
    <w:p w14:paraId="2B9CD08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2.1系统应能按科室、病区、医疗组、主管医生设置监护范围，应能实现对监护范围内患者当日新开医嘱进行批量审查，方便药师开展监护工作。</w:t>
      </w:r>
    </w:p>
    <w:p w14:paraId="6C31574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3.监护评级</w:t>
      </w:r>
    </w:p>
    <w:p w14:paraId="089D22D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3.1.▲系统应具备监护评级机制，可根据异常检验结果、异常生命体征、重点关注药品、用药品种数、是否存在特殊治疗将患者自动划分为一级、二级、三级药学监护，并根据监护级别推荐监护频率，药师可进行人工确认。</w:t>
      </w:r>
    </w:p>
    <w:p w14:paraId="74FBAC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4.重点关注病例</w:t>
      </w:r>
    </w:p>
    <w:p w14:paraId="1AE88DD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4.1.系统应能自动筛选出需要重点监护的患者，包括新入院、待出院、3天内转入、一级/二级监护、未完成监护计划、肝肾损害、过敏、手术、医药公式与评估量表结果、执行中重点关注药品、执行中不合理医嘱、异常检验、异常体征和自定义患者。</w:t>
      </w:r>
    </w:p>
    <w:p w14:paraId="7476F71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4.2.▲系统应能根据药品、疾病特点自定义患者，如VTE异常且未使用抗凝药、尿隐血阳性、万古霉素联用阿奇霉素的患者，自定义要素包括但不限于药品、检查项目、检验结果、基因检测、出血风险、VTE风险、手术、切口类型、诊断和联合用药、用药天数、体重、年龄、住院天数。</w:t>
      </w:r>
    </w:p>
    <w:p w14:paraId="17F36BD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4.3.▲自定义联合用药患者应提供同天使用、同点有交叉、同点有交叉或前后相差小于24小时的联用方式。</w:t>
      </w:r>
    </w:p>
    <w:p w14:paraId="70CE5AE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5.患者360视图</w:t>
      </w:r>
    </w:p>
    <w:p w14:paraId="63A09BD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5.1.系统应整合患者数据方便药师查看，包括患者基本信息、医嘱、检验、检查、手术、会诊、病程、历史诊疗、健康摘要、用药时序图、药品联用图、风险提示。</w:t>
      </w:r>
    </w:p>
    <w:p w14:paraId="6B1E85A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5.2.基本信息应包括但不限于患者姓名、年龄、标记、体表面积、体重指数、入院诊断、肌酐清除率、过敏史、基因检测结果、医药公式与评估量表及结果。</w:t>
      </w:r>
    </w:p>
    <w:p w14:paraId="2B45F92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5.3.系统应高亮显示患者在用医嘱，并提供药疗/非药疗、长期/临时、三日内新开医嘱、出院带药、特殊标记医嘱、特殊药品属性供药师筛选。</w:t>
      </w:r>
    </w:p>
    <w:p w14:paraId="7B0B988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5.4.▲系统应提供用药时序图自定义功能，药师可根据科室、疾病特点设置显示项目，包括呼吸、脉搏、体温、疼痛评分、血糖、内科/外科VTE风险、内科/外科出血风险、出/入量、血压、体重、身高、手术、病原学送检、内生肌酐清除率、肾小球滤过率、医药公式与评估量表、药品、检验。</w:t>
      </w:r>
    </w:p>
    <w:p w14:paraId="37ABE14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5.5.系统应能提供数据录入功能，方便药师手动补录患者检验检查和诊断等数据。</w:t>
      </w:r>
    </w:p>
    <w:p w14:paraId="0220DF3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5.6.系统应提供自定义事项提醒，药师可根据患者监护需要设置提醒内容及时间，方便药师及时处理。</w:t>
      </w:r>
    </w:p>
    <w:p w14:paraId="4B1DBA4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6.监护全过程</w:t>
      </w:r>
    </w:p>
    <w:p w14:paraId="048AD5F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6.1.系统应提供入院评估表，内容包括患者一般资料、入院状况、既往用药了解程序、主要实验室检查结果、风险评估、依从性评估、疾病认识。应可导入既往入院评估。</w:t>
      </w:r>
    </w:p>
    <w:p w14:paraId="7C830FE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6.2.系统应提供程序审查结果、药品说明书、注意事项辅助药师进行合理用药审查，应支持药师将不合理医嘱一键生成用药建议，反馈给临床医生并记录医生采纳情况。</w:t>
      </w:r>
    </w:p>
    <w:p w14:paraId="6BD5D0C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6.3.系统应能自动导入患者在用医嘱，快速生成药物重整计划，应支持药师将重整计划反馈给临床医生并记录医生采纳情况。应可导入既往重整计划。</w:t>
      </w:r>
    </w:p>
    <w:p w14:paraId="2FDB7AF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6.4.▲系统应提供导入历史监护计划、监护计划模板快捷输入、医嘱/检验/检查自动导入功能、医嘱/检验值模糊查找功能，帮助药师快速生成监护计划。</w:t>
      </w:r>
    </w:p>
    <w:p w14:paraId="4F37FC8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6.5.▲系统应提供监护日志模板，内容包括监护日期、病情变化、修正诊断、药学问诊、问题及患者反馈、治疗方案、新开药品、停嘱药品、实验室检查结果更新、药学分析与建议，药师应可根据需要自定义填写内容。</w:t>
      </w:r>
    </w:p>
    <w:p w14:paraId="1444A04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6.6.▲系统应能根据患者已有基因检测结果、血药浓度结果提醒药师制定个体化用药方案。应提供单室模型静脉注射药动学公式协助药师调整用量。</w:t>
      </w:r>
    </w:p>
    <w:p w14:paraId="74D44F0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6.7.▲系统应支持药师将用药建议一键生成监护计划，提高药师填写效率。系统应能支持药师将用药建议发送给临床医生并记录医生对于该用药建议的采纳情况，发送方式应为医生工作站消息提示。系统应支持用药建议智能分析功能，应能自动读取并分析医生行为，智能判断医生是否采纳建议。药师可在程序评估结果的基础上人工确认。</w:t>
      </w:r>
    </w:p>
    <w:p w14:paraId="4D1CEAB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6.8.▲系统应能自动生成患者全程化药学监护记录，并根据监护记录内容生成“新入院患者药学监护记录表”、“在院患者药学监护记录表”。</w:t>
      </w:r>
    </w:p>
    <w:p w14:paraId="252165B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6.9.▲系统应支持医生在工作站、电子病历等系统中自主查看监护评级、监护计划、监护日志、用药建议、药物重整计划、个体化用药方案、风险评估。</w:t>
      </w:r>
    </w:p>
    <w:p w14:paraId="23FD174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专项监护:系统应能实现批量医嘱审核功能，快速发现不合理医嘱，提高药师医嘱审核效率。系统应能提供药学会诊、血药浓度/基因检测个体化治疗方案随访管理功能，并记录医生对个体化治疗方案的采纳情况。</w:t>
      </w:r>
    </w:p>
    <w:p w14:paraId="14D4135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8.▲带教学习:系统应提供带教模块，学生填写的药学记录需提交老师审核。</w:t>
      </w:r>
    </w:p>
    <w:p w14:paraId="6A6C867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9.药学记录:系统应能自动生成我的监护病例/查房备注/带教学习、全院监护记录/发送记录/带教学习、用药建议采纳情况等药学记录供药师查询、处理。系统应支持批量生成查房备注，减少药师填写工作量。</w:t>
      </w:r>
    </w:p>
    <w:p w14:paraId="003CAD0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10.药学查房:系统应提供移动端程序协助药师完成药学查房，移动端应支持查看患者360视图并简单备注查房前准备和查房时情况。应提供查房备注模板，方便药师快速填写。</w:t>
      </w:r>
    </w:p>
    <w:p w14:paraId="59433AB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11.用药咨询:</w:t>
      </w:r>
    </w:p>
    <w:p w14:paraId="0CEEB67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11.1.线下咨询:系统应支持药师记录门诊患者、住院患者、患者亲友、医生、护士发起的线下用药咨询及药师解答，应支持延答复操作，方便药师查找暂未答复的问题。</w:t>
      </w:r>
    </w:p>
    <w:p w14:paraId="2C145A7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11.2.医生咨询：系统应支持医生在工作站向药师发起用药咨询。</w:t>
      </w:r>
    </w:p>
    <w:p w14:paraId="00646FE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12.用药指导</w:t>
      </w:r>
    </w:p>
    <w:p w14:paraId="71913C3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12.1.▲系统应支持自动生成用药指导单，包括用药清单（药品名称/规格/厂家/发药数量/用法用量/等）、药品注意事项、服药时间表、错时给药、食物宜忌事项、其他注意事项。应支持药师设置特殊周剂量、月剂量给药方案。</w:t>
      </w:r>
    </w:p>
    <w:p w14:paraId="0E3A32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12.2.系统应支持将用药指导单打印给患者。</w:t>
      </w:r>
    </w:p>
    <w:p w14:paraId="1540D89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13.统计分析</w:t>
      </w:r>
    </w:p>
    <w:p w14:paraId="3B24F8D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系统应能根据药师工作内容生成以下报表：</w:t>
      </w:r>
    </w:p>
    <w:p w14:paraId="2158476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13.1.住院监护：</w:t>
      </w:r>
    </w:p>
    <w:p w14:paraId="7E2FB9A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（1）医嘱审核汇总：应能按药师、科室、主管医生维度统计医嘱审核情况，如审核数、医嘱审核占比、不合理医嘱数等。</w:t>
      </w:r>
    </w:p>
    <w:p w14:paraId="42A3CFF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（2）药学监护记录汇总：应能按药师、科室、全院维度统计药学监护各项记录数及全院趋势分析，包括但不限于监护计划/日志数、用药建议、药物重整数等。</w:t>
      </w:r>
    </w:p>
    <w:p w14:paraId="2B969D4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（3）出院病人药学监护统计：药学监护病人清单表；科室药学监护病人数统计；全院药学监护病人数统计；</w:t>
      </w:r>
    </w:p>
    <w:p w14:paraId="18ACFF9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（4）用药建议原因分析</w:t>
      </w:r>
    </w:p>
    <w:p w14:paraId="3D06124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（5）药物重整发送分析</w:t>
      </w:r>
    </w:p>
    <w:p w14:paraId="748364C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（6）查房打卡汇总统计</w:t>
      </w:r>
    </w:p>
    <w:p w14:paraId="6AEF24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13.2.用药咨询：个人工作量统计、问题类型统计、药理类别统计。</w:t>
      </w:r>
    </w:p>
    <w:p w14:paraId="5A99E1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13.3</w:t>
      </w:r>
      <w:r>
        <w:rPr>
          <w:rFonts w:hint="eastAsia" w:asciiTheme="minorEastAsia" w:hAnsiTheme="minorEastAsia" w:eastAsiaTheme="minorEastAsia" w:cstheme="minorEastAsia"/>
          <w:sz w:val="24"/>
        </w:rPr>
        <w:t>用药指导：指导原因统计、药品统计、药理类别统计。</w:t>
      </w:r>
    </w:p>
    <w:p w14:paraId="691919D6">
      <w:pPr>
        <w:pStyle w:val="2"/>
        <w:rPr>
          <w:rFonts w:hint="eastAsia" w:eastAsiaTheme="minorEastAsia"/>
          <w:lang w:eastAsia="zh-CN"/>
        </w:rPr>
      </w:pPr>
      <w:r>
        <w:rPr>
          <w:rFonts w:hint="eastAsia" w:asciiTheme="minorEastAsia" w:hAnsiTheme="minorEastAsia" w:eastAsiaTheme="minorEastAsia" w:cstheme="minorEastAsia"/>
          <w:sz w:val="24"/>
          <w:lang w:eastAsia="zh-CN"/>
        </w:rPr>
        <w:t>注：1.本部分标注“★”的条款为本项目的实质性条款，供应商不满足的，将按照无效投标处理；标注“▲”的为重要条款，得分占比相较一般条款更高；未标注条款为一般条款。</w:t>
      </w:r>
    </w:p>
    <w:p w14:paraId="3909385C">
      <w:pPr>
        <w:numPr>
          <w:ilvl w:val="0"/>
          <w:numId w:val="0"/>
        </w:numPr>
        <w:spacing w:line="460" w:lineRule="atLeast"/>
        <w:ind w:firstLine="482" w:firstLineChars="200"/>
        <w:jc w:val="left"/>
        <w:rPr>
          <w:rFonts w:hint="eastAsia" w:ascii="宋体" w:hAnsi="宋体" w:eastAsia="宋体" w:cs="宋体"/>
          <w:b/>
          <w:bCs w:val="0"/>
          <w:color w:val="auto"/>
          <w:kern w:val="0"/>
          <w:sz w:val="24"/>
          <w:szCs w:val="24"/>
          <w:highlight w:val="none"/>
          <w:lang w:eastAsia="zh-CN"/>
        </w:rPr>
      </w:pPr>
      <w:r>
        <w:rPr>
          <w:rFonts w:hint="eastAsia" w:ascii="宋体" w:hAnsi="宋体" w:eastAsia="宋体" w:cs="宋体"/>
          <w:b/>
          <w:color w:val="auto"/>
          <w:sz w:val="24"/>
          <w:highlight w:val="none"/>
        </w:rPr>
        <w:t>★</w:t>
      </w:r>
      <w:r>
        <w:rPr>
          <w:rFonts w:hint="eastAsia" w:ascii="宋体" w:hAnsi="宋体" w:cs="宋体"/>
          <w:b/>
          <w:bCs w:val="0"/>
          <w:color w:val="auto"/>
          <w:sz w:val="24"/>
          <w:highlight w:val="none"/>
          <w:lang w:val="en-US" w:eastAsia="zh-CN"/>
        </w:rPr>
        <w:t>四</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kern w:val="0"/>
          <w:sz w:val="24"/>
          <w:szCs w:val="24"/>
          <w:highlight w:val="none"/>
          <w:lang w:eastAsia="zh-CN"/>
        </w:rPr>
        <w:t>商务要求</w:t>
      </w:r>
    </w:p>
    <w:p w14:paraId="06372FBF">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（一）</w:t>
      </w:r>
      <w:r>
        <w:rPr>
          <w:rFonts w:hint="default" w:ascii="宋体" w:hAnsi="宋体" w:cs="宋体"/>
          <w:b w:val="0"/>
          <w:bCs/>
          <w:color w:val="auto"/>
          <w:sz w:val="24"/>
          <w:highlight w:val="none"/>
          <w:lang w:val="en-US" w:eastAsia="zh-CN"/>
        </w:rPr>
        <w:t>付款方式</w:t>
      </w:r>
    </w:p>
    <w:p w14:paraId="0A78778B">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合同签订后支付50%，验收完成后支付50%。付款前，供应商须向采购人提供等额、有效的正规税务发票。</w:t>
      </w:r>
      <w:r>
        <w:rPr>
          <w:rFonts w:hint="default" w:ascii="宋体" w:hAnsi="宋体" w:cs="宋体"/>
          <w:b w:val="0"/>
          <w:bCs/>
          <w:color w:val="auto"/>
          <w:sz w:val="24"/>
          <w:highlight w:val="yellow"/>
          <w:lang w:val="en-US" w:eastAsia="zh-CN"/>
        </w:rPr>
        <w:t>供应商</w:t>
      </w:r>
      <w:r>
        <w:rPr>
          <w:rFonts w:hint="default" w:ascii="宋体" w:hAnsi="宋体" w:cs="宋体"/>
          <w:b w:val="0"/>
          <w:bCs/>
          <w:color w:val="auto"/>
          <w:sz w:val="24"/>
          <w:highlight w:val="none"/>
          <w:lang w:val="en-US" w:eastAsia="zh-CN"/>
        </w:rPr>
        <w:t>未能按照约定提供正规发票和有关单据的，采购人有权拒绝支付相应款项且不承担违约责任。</w:t>
      </w:r>
    </w:p>
    <w:p w14:paraId="76F04D9D">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（二）</w:t>
      </w:r>
      <w:r>
        <w:rPr>
          <w:rFonts w:hint="default" w:ascii="宋体" w:hAnsi="宋体" w:cs="宋体"/>
          <w:b w:val="0"/>
          <w:bCs/>
          <w:color w:val="auto"/>
          <w:sz w:val="24"/>
          <w:highlight w:val="none"/>
          <w:lang w:val="en-US" w:eastAsia="zh-CN"/>
        </w:rPr>
        <w:t>售后服务</w:t>
      </w:r>
    </w:p>
    <w:p w14:paraId="2A8076D6">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w:t>
      </w:r>
      <w:r>
        <w:rPr>
          <w:rFonts w:hint="default" w:ascii="宋体" w:hAnsi="宋体" w:cs="宋体"/>
          <w:b w:val="0"/>
          <w:bCs/>
          <w:color w:val="auto"/>
          <w:sz w:val="24"/>
          <w:highlight w:val="none"/>
          <w:lang w:val="en-US" w:eastAsia="zh-CN"/>
        </w:rPr>
        <w:t>质保期从采购人验收之日起算1年。</w:t>
      </w:r>
    </w:p>
    <w:p w14:paraId="72F8E181">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w:t>
      </w:r>
      <w:r>
        <w:rPr>
          <w:rFonts w:hint="default" w:ascii="宋体" w:hAnsi="宋体" w:cs="宋体"/>
          <w:b w:val="0"/>
          <w:bCs/>
          <w:color w:val="auto"/>
          <w:sz w:val="24"/>
          <w:highlight w:val="none"/>
          <w:lang w:val="en-US" w:eastAsia="zh-CN"/>
        </w:rPr>
        <w:t>在系统的服务期内，</w:t>
      </w:r>
      <w:r>
        <w:rPr>
          <w:rFonts w:hint="eastAsia" w:ascii="宋体" w:hAnsi="宋体" w:cs="宋体"/>
          <w:b w:val="0"/>
          <w:bCs/>
          <w:color w:val="auto"/>
          <w:sz w:val="24"/>
          <w:highlight w:val="none"/>
          <w:lang w:val="en-US" w:eastAsia="zh-CN"/>
        </w:rPr>
        <w:t>供应商</w:t>
      </w:r>
      <w:r>
        <w:rPr>
          <w:rFonts w:hint="default" w:ascii="宋体" w:hAnsi="宋体" w:cs="宋体"/>
          <w:b w:val="0"/>
          <w:bCs/>
          <w:color w:val="auto"/>
          <w:sz w:val="24"/>
          <w:highlight w:val="none"/>
          <w:lang w:val="en-US" w:eastAsia="zh-CN"/>
        </w:rPr>
        <w:t>应确保系统的正常使用。在接到采购人服务要求后应立即做出回应，并在承诺的服务时间内实施服务。</w:t>
      </w:r>
    </w:p>
    <w:p w14:paraId="36917EED">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3.供应商</w:t>
      </w:r>
      <w:r>
        <w:rPr>
          <w:rFonts w:hint="default" w:ascii="宋体" w:hAnsi="宋体" w:cs="宋体"/>
          <w:b w:val="0"/>
          <w:bCs/>
          <w:color w:val="auto"/>
          <w:sz w:val="24"/>
          <w:highlight w:val="none"/>
          <w:lang w:val="en-US" w:eastAsia="zh-CN"/>
        </w:rPr>
        <w:t>应提供7×24小时的免费上门保修服务。半小时内响应，4小时内到达现场，24小时内解决故障。</w:t>
      </w:r>
    </w:p>
    <w:p w14:paraId="7C684A61">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4.供应商</w:t>
      </w:r>
      <w:r>
        <w:rPr>
          <w:rFonts w:hint="default" w:ascii="宋体" w:hAnsi="宋体" w:cs="宋体"/>
          <w:b w:val="0"/>
          <w:bCs/>
          <w:color w:val="auto"/>
          <w:sz w:val="24"/>
          <w:highlight w:val="none"/>
          <w:lang w:val="en-US" w:eastAsia="zh-CN"/>
        </w:rPr>
        <w:t>应支持热线电话服务。提供技术咨询、故障诊断、故障排除、以及现场支持等具体的技术支持工作，并对客户投诉做出相应处理。</w:t>
      </w:r>
    </w:p>
    <w:p w14:paraId="72712523">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5.</w:t>
      </w:r>
      <w:r>
        <w:rPr>
          <w:rFonts w:hint="default" w:ascii="宋体" w:hAnsi="宋体" w:cs="宋体"/>
          <w:b w:val="0"/>
          <w:bCs/>
          <w:color w:val="auto"/>
          <w:sz w:val="24"/>
          <w:highlight w:val="none"/>
          <w:lang w:val="en-US" w:eastAsia="zh-CN"/>
        </w:rPr>
        <w:t>定期巡检与调优系统，确保系统始终处于高效率运行状态。</w:t>
      </w:r>
    </w:p>
    <w:p w14:paraId="5FCFBF0D">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（三）</w:t>
      </w:r>
      <w:r>
        <w:rPr>
          <w:rFonts w:hint="default" w:ascii="宋体" w:hAnsi="宋体" w:cs="宋体"/>
          <w:b w:val="0"/>
          <w:bCs/>
          <w:color w:val="auto"/>
          <w:sz w:val="24"/>
          <w:highlight w:val="none"/>
          <w:lang w:val="en-US" w:eastAsia="zh-CN"/>
        </w:rPr>
        <w:t>培训</w:t>
      </w:r>
    </w:p>
    <w:p w14:paraId="1ACBF3B3">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w:t>
      </w:r>
      <w:r>
        <w:rPr>
          <w:rFonts w:hint="default" w:ascii="宋体" w:hAnsi="宋体" w:cs="宋体"/>
          <w:b w:val="0"/>
          <w:bCs/>
          <w:color w:val="auto"/>
          <w:sz w:val="24"/>
          <w:highlight w:val="none"/>
          <w:lang w:val="en-US" w:eastAsia="zh-CN"/>
        </w:rPr>
        <w:t>培训：</w:t>
      </w:r>
      <w:r>
        <w:rPr>
          <w:rFonts w:hint="eastAsia" w:ascii="宋体" w:hAnsi="宋体" w:cs="宋体"/>
          <w:b w:val="0"/>
          <w:bCs/>
          <w:color w:val="auto"/>
          <w:sz w:val="24"/>
          <w:highlight w:val="none"/>
          <w:lang w:val="en-US" w:eastAsia="zh-CN"/>
        </w:rPr>
        <w:t>供应商</w:t>
      </w:r>
      <w:r>
        <w:rPr>
          <w:rFonts w:hint="default" w:ascii="宋体" w:hAnsi="宋体" w:cs="宋体"/>
          <w:b w:val="0"/>
          <w:bCs/>
          <w:color w:val="auto"/>
          <w:sz w:val="24"/>
          <w:highlight w:val="none"/>
          <w:lang w:val="en-US" w:eastAsia="zh-CN"/>
        </w:rPr>
        <w:t>应制定详细的培训计划，对使用人员进行操作及相关技术培训。</w:t>
      </w:r>
      <w:r>
        <w:rPr>
          <w:rFonts w:hint="eastAsia" w:ascii="宋体" w:hAnsi="宋体" w:cs="宋体"/>
          <w:b w:val="0"/>
          <w:bCs/>
          <w:color w:val="auto"/>
          <w:sz w:val="24"/>
          <w:highlight w:val="none"/>
          <w:lang w:val="en-US" w:eastAsia="zh-CN"/>
        </w:rPr>
        <w:t>供应商</w:t>
      </w:r>
      <w:r>
        <w:rPr>
          <w:rFonts w:hint="default" w:ascii="宋体" w:hAnsi="宋体" w:cs="宋体"/>
          <w:b w:val="0"/>
          <w:bCs/>
          <w:color w:val="auto"/>
          <w:sz w:val="24"/>
          <w:highlight w:val="none"/>
          <w:lang w:val="en-US" w:eastAsia="zh-CN"/>
        </w:rPr>
        <w:t>负责采购人的现场技术培训，包括产品的功能、部署条件、部署步骤和注意事项、产品升级、日常维护事项等方面，使采购人达到能独立进行管理、维护测试和故障处理等工作，以使所提供的软件产品能够正常、安全的运行。</w:t>
      </w:r>
    </w:p>
    <w:p w14:paraId="1149F2AF">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w:t>
      </w:r>
      <w:r>
        <w:rPr>
          <w:rFonts w:hint="default" w:ascii="宋体" w:hAnsi="宋体" w:cs="宋体"/>
          <w:b w:val="0"/>
          <w:bCs/>
          <w:color w:val="auto"/>
          <w:sz w:val="24"/>
          <w:highlight w:val="none"/>
          <w:lang w:val="en-US" w:eastAsia="zh-CN"/>
        </w:rPr>
        <w:t>所有的培训费用必须计入投标总价。</w:t>
      </w:r>
    </w:p>
    <w:p w14:paraId="2A1824EE">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（四）</w:t>
      </w:r>
      <w:r>
        <w:rPr>
          <w:rFonts w:hint="default" w:ascii="宋体" w:hAnsi="宋体" w:cs="宋体"/>
          <w:b w:val="0"/>
          <w:bCs/>
          <w:color w:val="auto"/>
          <w:sz w:val="24"/>
          <w:highlight w:val="none"/>
          <w:lang w:val="en-US" w:eastAsia="zh-CN"/>
        </w:rPr>
        <w:t>交货及安装调试</w:t>
      </w:r>
    </w:p>
    <w:p w14:paraId="3CAB76A4">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w:t>
      </w:r>
      <w:r>
        <w:rPr>
          <w:rFonts w:hint="default" w:ascii="宋体" w:hAnsi="宋体" w:cs="宋体"/>
          <w:b w:val="0"/>
          <w:bCs/>
          <w:color w:val="auto"/>
          <w:sz w:val="24"/>
          <w:highlight w:val="none"/>
          <w:lang w:val="en-US" w:eastAsia="zh-CN"/>
        </w:rPr>
        <w:t>安装地点：医院指定地点。</w:t>
      </w:r>
    </w:p>
    <w:p w14:paraId="275FA61D">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w:t>
      </w:r>
      <w:r>
        <w:rPr>
          <w:rFonts w:hint="default" w:ascii="宋体" w:hAnsi="宋体" w:cs="宋体"/>
          <w:b w:val="0"/>
          <w:bCs/>
          <w:color w:val="auto"/>
          <w:sz w:val="24"/>
          <w:highlight w:val="none"/>
          <w:lang w:val="en-US" w:eastAsia="zh-CN"/>
        </w:rPr>
        <w:t>实施周期：自合同签订后6个月内，软件系统到货、安装完成。如在规定的时间内由于</w:t>
      </w:r>
      <w:r>
        <w:rPr>
          <w:rFonts w:hint="eastAsia" w:ascii="宋体" w:hAnsi="宋体" w:cs="宋体"/>
          <w:b w:val="0"/>
          <w:bCs/>
          <w:color w:val="auto"/>
          <w:sz w:val="24"/>
          <w:highlight w:val="none"/>
          <w:lang w:val="en-US" w:eastAsia="zh-CN"/>
        </w:rPr>
        <w:t>供应商</w:t>
      </w:r>
      <w:r>
        <w:rPr>
          <w:rFonts w:hint="default" w:ascii="宋体" w:hAnsi="宋体" w:cs="宋体"/>
          <w:b w:val="0"/>
          <w:bCs/>
          <w:color w:val="auto"/>
          <w:sz w:val="24"/>
          <w:highlight w:val="none"/>
          <w:lang w:val="en-US" w:eastAsia="zh-CN"/>
        </w:rPr>
        <w:t>的原因不能完成安装和调试，</w:t>
      </w:r>
      <w:r>
        <w:rPr>
          <w:rFonts w:hint="eastAsia" w:ascii="宋体" w:hAnsi="宋体" w:cs="宋体"/>
          <w:b w:val="0"/>
          <w:bCs/>
          <w:color w:val="auto"/>
          <w:sz w:val="24"/>
          <w:highlight w:val="none"/>
          <w:lang w:val="en-US" w:eastAsia="zh-CN"/>
        </w:rPr>
        <w:t>供应商</w:t>
      </w:r>
      <w:r>
        <w:rPr>
          <w:rFonts w:hint="default" w:ascii="宋体" w:hAnsi="宋体" w:cs="宋体"/>
          <w:b w:val="0"/>
          <w:bCs/>
          <w:color w:val="auto"/>
          <w:sz w:val="24"/>
          <w:highlight w:val="none"/>
          <w:lang w:val="en-US" w:eastAsia="zh-CN"/>
        </w:rPr>
        <w:t>应承担由此给采购人造成的损失。</w:t>
      </w:r>
    </w:p>
    <w:p w14:paraId="0ED7997F">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3.</w:t>
      </w:r>
      <w:r>
        <w:rPr>
          <w:rFonts w:hint="default" w:ascii="宋体" w:hAnsi="宋体" w:cs="宋体"/>
          <w:b w:val="0"/>
          <w:bCs/>
          <w:color w:val="auto"/>
          <w:sz w:val="24"/>
          <w:highlight w:val="none"/>
          <w:lang w:val="en-US" w:eastAsia="zh-CN"/>
        </w:rPr>
        <w:t>安装标准：符合我国国家有关技术规范要求和技术标准。</w:t>
      </w:r>
    </w:p>
    <w:p w14:paraId="3BBD67B4">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4.</w:t>
      </w:r>
      <w:r>
        <w:rPr>
          <w:rFonts w:hint="default" w:ascii="宋体" w:hAnsi="宋体" w:cs="宋体"/>
          <w:b w:val="0"/>
          <w:bCs/>
          <w:color w:val="auto"/>
          <w:sz w:val="24"/>
          <w:highlight w:val="none"/>
          <w:lang w:val="en-US" w:eastAsia="zh-CN"/>
        </w:rPr>
        <w:t>安装调试过程中发生的费用由</w:t>
      </w:r>
      <w:r>
        <w:rPr>
          <w:rFonts w:hint="eastAsia" w:ascii="宋体" w:hAnsi="宋体" w:cs="宋体"/>
          <w:b w:val="0"/>
          <w:bCs/>
          <w:color w:val="auto"/>
          <w:sz w:val="24"/>
          <w:highlight w:val="none"/>
          <w:lang w:val="en-US" w:eastAsia="zh-CN"/>
        </w:rPr>
        <w:t>供应商</w:t>
      </w:r>
      <w:r>
        <w:rPr>
          <w:rFonts w:hint="default" w:ascii="宋体" w:hAnsi="宋体" w:cs="宋体"/>
          <w:b w:val="0"/>
          <w:bCs/>
          <w:color w:val="auto"/>
          <w:sz w:val="24"/>
          <w:highlight w:val="none"/>
          <w:lang w:val="en-US" w:eastAsia="zh-CN"/>
        </w:rPr>
        <w:t>负责。</w:t>
      </w:r>
    </w:p>
    <w:p w14:paraId="37B65E35">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5.</w:t>
      </w:r>
      <w:r>
        <w:rPr>
          <w:rFonts w:hint="default" w:ascii="宋体" w:hAnsi="宋体" w:cs="宋体"/>
          <w:b w:val="0"/>
          <w:bCs/>
          <w:color w:val="auto"/>
          <w:sz w:val="24"/>
          <w:highlight w:val="none"/>
          <w:lang w:val="en-US" w:eastAsia="zh-CN"/>
        </w:rPr>
        <w:t>在项目实施过程中，向采购人提供齐全的电子版和书面的操作说明等文档。</w:t>
      </w:r>
    </w:p>
    <w:p w14:paraId="435AC487">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（五）</w:t>
      </w:r>
      <w:r>
        <w:rPr>
          <w:rFonts w:hint="default" w:ascii="宋体" w:hAnsi="宋体" w:cs="宋体"/>
          <w:b w:val="0"/>
          <w:bCs/>
          <w:color w:val="auto"/>
          <w:sz w:val="24"/>
          <w:highlight w:val="none"/>
          <w:lang w:val="en-US" w:eastAsia="zh-CN"/>
        </w:rPr>
        <w:t>报价方式</w:t>
      </w:r>
    </w:p>
    <w:p w14:paraId="54626619">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所有报价均为人民币含税总价。该价格为项目最终验收合格前的固定总价。</w:t>
      </w:r>
    </w:p>
    <w:p w14:paraId="4D5E5CC7">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（六）</w:t>
      </w:r>
      <w:r>
        <w:rPr>
          <w:rFonts w:hint="default" w:ascii="宋体" w:hAnsi="宋体" w:cs="宋体"/>
          <w:b w:val="0"/>
          <w:bCs/>
          <w:color w:val="auto"/>
          <w:sz w:val="24"/>
          <w:highlight w:val="none"/>
          <w:lang w:val="en-US" w:eastAsia="zh-CN"/>
        </w:rPr>
        <w:t>其它要求</w:t>
      </w:r>
    </w:p>
    <w:p w14:paraId="2539AEE7">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需与现有的HIS、前置审方、合理用药等系统对接，涉及的接口费由供应商提供。</w:t>
      </w:r>
    </w:p>
    <w:p w14:paraId="660C600C">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（七）</w:t>
      </w:r>
      <w:r>
        <w:rPr>
          <w:rFonts w:hint="default" w:ascii="宋体" w:hAnsi="宋体" w:cs="宋体"/>
          <w:b w:val="0"/>
          <w:bCs/>
          <w:color w:val="auto"/>
          <w:sz w:val="24"/>
          <w:highlight w:val="none"/>
          <w:lang w:val="en-US" w:eastAsia="zh-CN"/>
        </w:rPr>
        <w:t>验收交付标准和方法：应严格按照政府采购相关法律法规以及《财政部关于进一步加强政府采购需求和履约验收管理的指导意见》（财库〔2016〕 205 号）及《政府采购需求管理办法》（财库 〔2021〕22 号）规定的要求、采购文件的质量要求和技术指标、中标人的投标文件及承诺以及合同约定标准进行验收。</w:t>
      </w:r>
    </w:p>
    <w:p w14:paraId="6C97FE68">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（八）</w:t>
      </w:r>
      <w:r>
        <w:rPr>
          <w:rFonts w:hint="default" w:ascii="宋体" w:hAnsi="宋体" w:cs="宋体"/>
          <w:b w:val="0"/>
          <w:bCs/>
          <w:color w:val="auto"/>
          <w:sz w:val="24"/>
          <w:highlight w:val="none"/>
          <w:lang w:val="en-US" w:eastAsia="zh-CN"/>
        </w:rPr>
        <w:t>违约责任</w:t>
      </w:r>
    </w:p>
    <w:p w14:paraId="665C52C9">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w:t>
      </w:r>
      <w:r>
        <w:rPr>
          <w:rFonts w:hint="default" w:ascii="宋体" w:hAnsi="宋体" w:cs="宋体"/>
          <w:b w:val="0"/>
          <w:bCs/>
          <w:color w:val="auto"/>
          <w:sz w:val="24"/>
          <w:highlight w:val="none"/>
          <w:lang w:val="en-US" w:eastAsia="zh-CN"/>
        </w:rPr>
        <w:t>采购人无正当理由拒绝供应商服务的，且采购人单方面解除采购合同，采购人应按合同金额的30％支付违约金；</w:t>
      </w:r>
    </w:p>
    <w:p w14:paraId="30587042">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w:t>
      </w:r>
      <w:r>
        <w:rPr>
          <w:rFonts w:hint="default" w:ascii="宋体" w:hAnsi="宋体" w:cs="宋体"/>
          <w:b w:val="0"/>
          <w:bCs/>
          <w:color w:val="auto"/>
          <w:sz w:val="24"/>
          <w:highlight w:val="none"/>
          <w:lang w:val="en-US" w:eastAsia="zh-CN"/>
        </w:rPr>
        <w:t>采购人无正当理由不同意供应商进场履约或拒签合同的，应支付合同金额10%的违约金。</w:t>
      </w:r>
    </w:p>
    <w:p w14:paraId="6432CA14">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（九）</w:t>
      </w:r>
      <w:r>
        <w:rPr>
          <w:rFonts w:hint="default" w:ascii="宋体" w:hAnsi="宋体" w:cs="宋体"/>
          <w:b w:val="0"/>
          <w:bCs/>
          <w:color w:val="auto"/>
          <w:sz w:val="24"/>
          <w:highlight w:val="none"/>
          <w:lang w:val="en-US" w:eastAsia="zh-CN"/>
        </w:rPr>
        <w:t>供应商违约责任</w:t>
      </w:r>
    </w:p>
    <w:p w14:paraId="57630DFF">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1.</w:t>
      </w:r>
      <w:r>
        <w:rPr>
          <w:rFonts w:hint="default" w:ascii="宋体" w:hAnsi="宋体" w:cs="宋体"/>
          <w:b w:val="0"/>
          <w:bCs/>
          <w:color w:val="auto"/>
          <w:sz w:val="24"/>
          <w:highlight w:val="none"/>
          <w:lang w:val="en-US" w:eastAsia="zh-CN"/>
        </w:rPr>
        <w:t>供应商签订合同后拒不履约的，应按合同金额的15%支付违约金，同时采购人有权单方面解除合同；</w:t>
      </w:r>
    </w:p>
    <w:p w14:paraId="33655324">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2.</w:t>
      </w:r>
      <w:r>
        <w:rPr>
          <w:rFonts w:hint="default" w:ascii="宋体" w:hAnsi="宋体" w:cs="宋体"/>
          <w:b w:val="0"/>
          <w:bCs/>
          <w:color w:val="auto"/>
          <w:sz w:val="24"/>
          <w:highlight w:val="none"/>
          <w:lang w:val="en-US" w:eastAsia="zh-CN"/>
        </w:rPr>
        <w:t>供应商逾期履约，应按合同总金额1‰/日支付违约金。供应商逾期提供服务超过20天，采购人有权单方面解除合同，同时供应商除应返还采购人已支付的全部款项，还应当按照合同金额的30%支付违约金；</w:t>
      </w:r>
    </w:p>
    <w:p w14:paraId="15F91696">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3.</w:t>
      </w:r>
      <w:r>
        <w:rPr>
          <w:rFonts w:hint="default" w:ascii="宋体" w:hAnsi="宋体" w:cs="宋体"/>
          <w:b w:val="0"/>
          <w:bCs/>
          <w:color w:val="auto"/>
          <w:sz w:val="24"/>
          <w:highlight w:val="none"/>
          <w:lang w:val="en-US" w:eastAsia="zh-CN"/>
        </w:rPr>
        <w:t>供应商有其他违约行为的，应按合同金额的30%支付违约金；</w:t>
      </w:r>
    </w:p>
    <w:p w14:paraId="0A9270ED">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4.</w:t>
      </w:r>
      <w:r>
        <w:rPr>
          <w:rFonts w:hint="default" w:ascii="宋体" w:hAnsi="宋体" w:cs="宋体"/>
          <w:b w:val="0"/>
          <w:bCs/>
          <w:color w:val="auto"/>
          <w:sz w:val="24"/>
          <w:highlight w:val="none"/>
          <w:lang w:val="en-US" w:eastAsia="zh-CN"/>
        </w:rPr>
        <w:t>如因供应商工作人员在履行职务过程中的疏忽、失职、过错等故意或者过失原因给采购人或第三人造成损失或侵害，供应商应赔偿采购人全部损失，包括但不限于采购人本身的财产损失、由此而导致的采购人对任何第三方的法律责任等；</w:t>
      </w:r>
    </w:p>
    <w:p w14:paraId="704938A3">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5.</w:t>
      </w:r>
      <w:r>
        <w:rPr>
          <w:rFonts w:hint="default" w:ascii="宋体" w:hAnsi="宋体" w:cs="宋体"/>
          <w:b w:val="0"/>
          <w:bCs/>
          <w:color w:val="auto"/>
          <w:sz w:val="24"/>
          <w:highlight w:val="none"/>
          <w:lang w:val="en-US" w:eastAsia="zh-CN"/>
        </w:rPr>
        <w:t>供应商支付的违约金不足以弥补采购人全部损失的，还应赔偿采购人全部损失；</w:t>
      </w:r>
    </w:p>
    <w:p w14:paraId="6975AD6F">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6.</w:t>
      </w:r>
      <w:r>
        <w:rPr>
          <w:rFonts w:hint="default" w:ascii="宋体" w:hAnsi="宋体" w:cs="宋体"/>
          <w:b w:val="0"/>
          <w:bCs/>
          <w:color w:val="auto"/>
          <w:sz w:val="24"/>
          <w:highlight w:val="none"/>
          <w:lang w:val="en-US" w:eastAsia="zh-CN"/>
        </w:rPr>
        <w:t>采购合同生效后，双方均应全面履行本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4D5856C9">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7.</w:t>
      </w:r>
      <w:r>
        <w:rPr>
          <w:rFonts w:hint="default" w:ascii="宋体" w:hAnsi="宋体" w:cs="宋体"/>
          <w:b w:val="0"/>
          <w:bCs/>
          <w:color w:val="auto"/>
          <w:sz w:val="24"/>
          <w:highlight w:val="none"/>
          <w:lang w:val="en-US" w:eastAsia="zh-CN"/>
        </w:rPr>
        <w:t>双方均应保证不向任何第三者（不包括采购人上级主管部门及相关行政机关、审计部门）泄露本</w:t>
      </w:r>
      <w:r>
        <w:rPr>
          <w:rFonts w:hint="eastAsia" w:ascii="宋体" w:hAnsi="宋体" w:cs="宋体"/>
          <w:b w:val="0"/>
          <w:bCs/>
          <w:color w:val="auto"/>
          <w:sz w:val="24"/>
          <w:highlight w:val="none"/>
          <w:lang w:val="en-US" w:eastAsia="zh-CN"/>
        </w:rPr>
        <w:t>项目</w:t>
      </w:r>
      <w:r>
        <w:rPr>
          <w:rFonts w:hint="default" w:ascii="宋体" w:hAnsi="宋体" w:cs="宋体"/>
          <w:b w:val="0"/>
          <w:bCs/>
          <w:color w:val="auto"/>
          <w:sz w:val="24"/>
          <w:highlight w:val="none"/>
          <w:lang w:val="en-US" w:eastAsia="zh-CN"/>
        </w:rPr>
        <w:t>合同信息，包括但不限于本</w:t>
      </w:r>
      <w:r>
        <w:rPr>
          <w:rFonts w:hint="eastAsia" w:ascii="宋体" w:hAnsi="宋体" w:cs="宋体"/>
          <w:b w:val="0"/>
          <w:bCs/>
          <w:color w:val="auto"/>
          <w:sz w:val="24"/>
          <w:highlight w:val="none"/>
          <w:lang w:val="en-US" w:eastAsia="zh-CN"/>
        </w:rPr>
        <w:t>项目</w:t>
      </w:r>
      <w:r>
        <w:rPr>
          <w:rFonts w:hint="default" w:ascii="宋体" w:hAnsi="宋体" w:cs="宋体"/>
          <w:b w:val="0"/>
          <w:bCs/>
          <w:color w:val="auto"/>
          <w:sz w:val="24"/>
          <w:highlight w:val="none"/>
          <w:lang w:val="en-US" w:eastAsia="zh-CN"/>
        </w:rPr>
        <w:t>合同及附件的任何条款、商业秘密、技术秘密、价格、销售额等，否则视为违约并承担合同总金额30%的违约金。若违约金不足以弥补对方损失的，另一方还应当补足。</w:t>
      </w:r>
    </w:p>
    <w:p w14:paraId="69385F52">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8.</w:t>
      </w:r>
      <w:r>
        <w:rPr>
          <w:rFonts w:hint="default" w:ascii="宋体" w:hAnsi="宋体" w:cs="宋体"/>
          <w:b w:val="0"/>
          <w:bCs/>
          <w:color w:val="auto"/>
          <w:sz w:val="24"/>
          <w:highlight w:val="none"/>
          <w:lang w:val="en-US" w:eastAsia="zh-CN"/>
        </w:rPr>
        <w:t>供应商应保证其提供的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3CA966D0">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9.</w:t>
      </w:r>
      <w:r>
        <w:rPr>
          <w:rFonts w:hint="default" w:ascii="宋体" w:hAnsi="宋体" w:cs="宋体"/>
          <w:b w:val="0"/>
          <w:bCs/>
          <w:color w:val="auto"/>
          <w:sz w:val="24"/>
          <w:highlight w:val="none"/>
          <w:lang w:val="en-US" w:eastAsia="zh-CN"/>
        </w:rPr>
        <w:t>采购合同所涉各类违约金应于违约事项出现之日起30日内支付。</w:t>
      </w:r>
    </w:p>
    <w:p w14:paraId="50DDA337">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（十）</w:t>
      </w:r>
      <w:r>
        <w:rPr>
          <w:rFonts w:hint="default" w:ascii="宋体" w:hAnsi="宋体" w:cs="宋体"/>
          <w:b w:val="0"/>
          <w:bCs/>
          <w:color w:val="auto"/>
          <w:sz w:val="24"/>
          <w:highlight w:val="none"/>
          <w:lang w:val="en-US" w:eastAsia="zh-CN"/>
        </w:rPr>
        <w:t>解决争议的方法</w:t>
      </w:r>
    </w:p>
    <w:p w14:paraId="58643DFF">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在执行合同中发生的与本合同有关的争端，双方应通过友好协商解决，经协商不能达成协议时，任意一方均可向采购人所在地人民法院提起诉讼。在诉讼期间，除正在进行诉讼部分外，合同其他部分继续执行。</w:t>
      </w:r>
    </w:p>
    <w:p w14:paraId="042F6452">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（十一）</w:t>
      </w:r>
      <w:r>
        <w:rPr>
          <w:rFonts w:hint="default" w:ascii="宋体" w:hAnsi="宋体" w:cs="宋体"/>
          <w:b w:val="0"/>
          <w:bCs/>
          <w:color w:val="auto"/>
          <w:sz w:val="24"/>
          <w:highlight w:val="none"/>
          <w:lang w:val="en-US" w:eastAsia="zh-CN"/>
        </w:rPr>
        <w:t>其他未尽事宜以合同约定为准。</w:t>
      </w:r>
    </w:p>
    <w:p w14:paraId="35D776DA">
      <w:pPr>
        <w:spacing w:line="460" w:lineRule="exact"/>
        <w:ind w:firstLine="480" w:firstLineChars="200"/>
        <w:rPr>
          <w:rFonts w:hint="default" w:ascii="宋体" w:hAnsi="宋体" w:cs="宋体"/>
          <w:b w:val="0"/>
          <w:bCs/>
          <w:color w:val="auto"/>
          <w:sz w:val="24"/>
          <w:highlight w:val="none"/>
          <w:lang w:val="en-US" w:eastAsia="zh-CN"/>
        </w:rPr>
      </w:pPr>
      <w:r>
        <w:rPr>
          <w:rFonts w:hint="default" w:ascii="宋体" w:hAnsi="宋体" w:cs="宋体"/>
          <w:b w:val="0"/>
          <w:bCs/>
          <w:color w:val="auto"/>
          <w:sz w:val="24"/>
          <w:highlight w:val="none"/>
          <w:lang w:val="en-US" w:eastAsia="zh-CN"/>
        </w:rPr>
        <w:t>★</w:t>
      </w:r>
      <w:r>
        <w:rPr>
          <w:rFonts w:hint="eastAsia" w:ascii="宋体" w:hAnsi="宋体" w:cs="宋体"/>
          <w:b w:val="0"/>
          <w:bCs/>
          <w:color w:val="auto"/>
          <w:sz w:val="24"/>
          <w:highlight w:val="none"/>
          <w:lang w:val="en-US" w:eastAsia="zh-CN"/>
        </w:rPr>
        <w:t>（十二）</w:t>
      </w:r>
      <w:r>
        <w:rPr>
          <w:rFonts w:hint="default" w:ascii="宋体" w:hAnsi="宋体" w:cs="宋体"/>
          <w:b w:val="0"/>
          <w:bCs/>
          <w:color w:val="auto"/>
          <w:sz w:val="24"/>
          <w:highlight w:val="none"/>
          <w:lang w:val="en-US" w:eastAsia="zh-CN"/>
        </w:rPr>
        <w:t>采购人享有自查自纠功能系统的永久且不可撤销的使用权；对于招标人使用项目系统产生的新数据的知识产权归招标人所有，如产生第三方知识产权（除采购人在使用项目系统产生的新数据的知识产权外）归供应商所有。</w:t>
      </w:r>
    </w:p>
    <w:p w14:paraId="508C4C8F">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（十三）</w:t>
      </w:r>
      <w:r>
        <w:rPr>
          <w:rFonts w:hint="default" w:ascii="宋体" w:hAnsi="宋体" w:cs="宋体"/>
          <w:b w:val="0"/>
          <w:bCs/>
          <w:color w:val="auto"/>
          <w:sz w:val="24"/>
          <w:highlight w:val="none"/>
          <w:lang w:val="en-US" w:eastAsia="zh-CN"/>
        </w:rPr>
        <w:t>合同履行期限：合同签订之日起18个月内</w:t>
      </w:r>
    </w:p>
    <w:p w14:paraId="576B1A90">
      <w:pPr>
        <w:spacing w:line="460" w:lineRule="exact"/>
        <w:ind w:firstLine="480" w:firstLineChars="200"/>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（十四）</w:t>
      </w:r>
      <w:r>
        <w:rPr>
          <w:rFonts w:hint="default" w:ascii="宋体" w:hAnsi="宋体" w:cs="宋体"/>
          <w:b w:val="0"/>
          <w:bCs/>
          <w:color w:val="auto"/>
          <w:sz w:val="24"/>
          <w:highlight w:val="none"/>
          <w:lang w:val="en-US" w:eastAsia="zh-CN"/>
        </w:rPr>
        <w:t>知识产权归属和处理方式：采购人享有药学监护系统的永久且不可撤销的使用权；对于招标人使用项目系统产生的新数据的知识产权归招标人所有，如产生第三方知识产权（除采购人在使用项目系统产生的新数据的知识产权外）归供应商所有。</w:t>
      </w:r>
    </w:p>
    <w:p w14:paraId="3D3A6C23">
      <w:pPr>
        <w:numPr>
          <w:ilvl w:val="-1"/>
          <w:numId w:val="0"/>
        </w:numPr>
        <w:spacing w:line="460" w:lineRule="atLeast"/>
        <w:ind w:left="0" w:firstLine="482" w:firstLineChars="200"/>
        <w:jc w:val="left"/>
        <w:rPr>
          <w:rFonts w:hint="eastAsia" w:ascii="宋体" w:hAnsi="宋体" w:eastAsia="宋体" w:cs="宋体"/>
          <w:b/>
          <w:bCs w:val="0"/>
          <w:color w:val="auto"/>
          <w:kern w:val="0"/>
          <w:sz w:val="24"/>
          <w:highlight w:val="none"/>
          <w:lang w:val="en-US" w:eastAsia="zh-CN"/>
        </w:rPr>
      </w:pPr>
      <w:r>
        <w:rPr>
          <w:rFonts w:hint="eastAsia" w:ascii="宋体" w:hAnsi="宋体" w:eastAsia="宋体" w:cs="宋体"/>
          <w:b/>
          <w:bCs w:val="0"/>
          <w:color w:val="auto"/>
          <w:kern w:val="0"/>
          <w:sz w:val="24"/>
          <w:highlight w:val="none"/>
          <w:lang w:val="en-US" w:eastAsia="zh-CN"/>
        </w:rPr>
        <w:t>十一、履约验收方案</w:t>
      </w:r>
    </w:p>
    <w:p w14:paraId="4454DA78">
      <w:pPr>
        <w:spacing w:line="460" w:lineRule="atLeast"/>
        <w:ind w:firstLine="480" w:firstLineChars="200"/>
        <w:rPr>
          <w:rFonts w:hint="eastAsia" w:ascii="宋体" w:hAnsi="宋体" w:eastAsia="宋体" w:cs="宋体"/>
          <w:b w:val="0"/>
          <w:bCs/>
          <w:color w:val="auto"/>
          <w:sz w:val="24"/>
          <w:highlight w:val="none"/>
          <w:lang w:eastAsia="zh-CN"/>
        </w:rPr>
      </w:pPr>
      <w:r>
        <w:rPr>
          <w:rFonts w:hint="eastAsia" w:ascii="宋体" w:hAnsi="宋体" w:eastAsia="宋体" w:cs="宋体"/>
          <w:b w:val="0"/>
          <w:bCs/>
          <w:color w:val="auto"/>
          <w:sz w:val="24"/>
          <w:highlight w:val="none"/>
          <w:lang w:eastAsia="zh-CN"/>
        </w:rPr>
        <w:t>（一）</w:t>
      </w:r>
      <w:r>
        <w:rPr>
          <w:rFonts w:hint="eastAsia" w:ascii="宋体" w:hAnsi="宋体" w:eastAsia="宋体" w:cs="宋体"/>
          <w:b w:val="0"/>
          <w:bCs/>
          <w:color w:val="auto"/>
          <w:sz w:val="24"/>
          <w:highlight w:val="none"/>
        </w:rPr>
        <w:t>履约验收程序：科室自行验收</w:t>
      </w:r>
      <w:r>
        <w:rPr>
          <w:rFonts w:hint="eastAsia" w:ascii="宋体" w:hAnsi="宋体" w:eastAsia="宋体" w:cs="宋体"/>
          <w:b w:val="0"/>
          <w:bCs/>
          <w:color w:val="auto"/>
          <w:sz w:val="24"/>
          <w:highlight w:val="none"/>
          <w:lang w:eastAsia="zh-CN"/>
        </w:rPr>
        <w:t>。</w:t>
      </w:r>
    </w:p>
    <w:p w14:paraId="26C3194A">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（二）</w:t>
      </w:r>
      <w:r>
        <w:rPr>
          <w:rFonts w:hint="eastAsia" w:ascii="宋体" w:hAnsi="宋体" w:eastAsia="宋体" w:cs="宋体"/>
          <w:b w:val="0"/>
          <w:bCs/>
          <w:color w:val="auto"/>
          <w:sz w:val="24"/>
          <w:highlight w:val="none"/>
        </w:rPr>
        <w:t>履约验收时间：项目完成后30个工作日。</w:t>
      </w:r>
    </w:p>
    <w:p w14:paraId="40AEB460">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（三）</w:t>
      </w:r>
      <w:r>
        <w:rPr>
          <w:rFonts w:hint="eastAsia" w:ascii="宋体" w:hAnsi="宋体" w:eastAsia="宋体" w:cs="宋体"/>
          <w:b w:val="0"/>
          <w:bCs/>
          <w:color w:val="auto"/>
          <w:sz w:val="24"/>
          <w:highlight w:val="none"/>
        </w:rPr>
        <w:t>验收组织的其他事项：无。</w:t>
      </w:r>
    </w:p>
    <w:p w14:paraId="59FD20C2">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（四）</w:t>
      </w:r>
      <w:r>
        <w:rPr>
          <w:rFonts w:hint="eastAsia" w:ascii="宋体" w:hAnsi="宋体" w:eastAsia="宋体" w:cs="宋体"/>
          <w:b w:val="0"/>
          <w:bCs/>
          <w:color w:val="auto"/>
          <w:sz w:val="24"/>
          <w:highlight w:val="none"/>
        </w:rPr>
        <w:t>技术履约验收内容：根据技术参数条款验收</w:t>
      </w:r>
    </w:p>
    <w:p w14:paraId="3190A73C">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（五）</w:t>
      </w:r>
      <w:r>
        <w:rPr>
          <w:rFonts w:hint="eastAsia" w:ascii="宋体" w:hAnsi="宋体" w:eastAsia="宋体" w:cs="宋体"/>
          <w:b w:val="0"/>
          <w:bCs/>
          <w:color w:val="auto"/>
          <w:sz w:val="24"/>
          <w:highlight w:val="none"/>
        </w:rPr>
        <w:t>商务履约验收内容：根据商务条款验收</w:t>
      </w:r>
    </w:p>
    <w:p w14:paraId="22FAEA5A">
      <w:pPr>
        <w:spacing w:line="460" w:lineRule="atLeas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eastAsia="zh-CN"/>
        </w:rPr>
        <w:t>（六）</w:t>
      </w:r>
      <w:r>
        <w:rPr>
          <w:rFonts w:hint="eastAsia" w:ascii="宋体" w:hAnsi="宋体" w:eastAsia="宋体" w:cs="宋体"/>
          <w:b w:val="0"/>
          <w:bCs/>
          <w:color w:val="auto"/>
          <w:sz w:val="24"/>
          <w:highlight w:val="none"/>
        </w:rPr>
        <w:t>履约验收标准：按照法律法规和质量标准验收产品</w:t>
      </w:r>
      <w:r>
        <w:rPr>
          <w:rFonts w:hint="eastAsia" w:ascii="宋体" w:hAnsi="宋体" w:cs="宋体"/>
          <w:bCs/>
          <w:color w:val="auto"/>
          <w:sz w:val="24"/>
          <w:highlight w:val="none"/>
        </w:rPr>
        <w:t>。</w:t>
      </w:r>
    </w:p>
    <w:p w14:paraId="4169773A">
      <w:pPr>
        <w:pStyle w:val="2"/>
        <w:ind w:firstLine="480" w:firstLineChars="200"/>
        <w:rPr>
          <w:rFonts w:hint="default" w:ascii="宋体" w:hAnsi="宋体" w:eastAsia="宋体" w:cs="宋体"/>
          <w:b/>
          <w:color w:val="auto"/>
          <w:sz w:val="24"/>
          <w:highlight w:val="none"/>
          <w:lang w:val="en-US" w:eastAsia="zh-CN"/>
        </w:rPr>
      </w:pPr>
      <w:r>
        <w:rPr>
          <w:rFonts w:hint="eastAsia" w:ascii="宋体" w:hAnsi="宋体" w:eastAsia="宋体" w:cs="宋体"/>
          <w:b w:val="0"/>
          <w:bCs/>
          <w:color w:val="auto"/>
          <w:sz w:val="24"/>
          <w:highlight w:val="none"/>
          <w:lang w:eastAsia="zh-CN"/>
        </w:rPr>
        <w:t>（七）</w:t>
      </w:r>
      <w:r>
        <w:rPr>
          <w:rFonts w:hint="eastAsia" w:ascii="宋体" w:hAnsi="宋体" w:eastAsia="宋体" w:cs="宋体"/>
          <w:b w:val="0"/>
          <w:bCs/>
          <w:color w:val="auto"/>
          <w:sz w:val="24"/>
          <w:highlight w:val="none"/>
        </w:rPr>
        <w:t>履约验收其他事项：无</w:t>
      </w:r>
      <w:r>
        <w:rPr>
          <w:rFonts w:hint="eastAsia" w:ascii="宋体" w:hAnsi="宋体" w:eastAsia="宋体" w:cs="宋体"/>
          <w:b w:val="0"/>
          <w:bCs/>
          <w:color w:val="auto"/>
          <w:sz w:val="24"/>
          <w:highlight w:val="none"/>
          <w:lang w:eastAsia="zh-CN"/>
        </w:rPr>
        <w:t>。</w:t>
      </w:r>
    </w:p>
    <w:p w14:paraId="078FF240">
      <w:pPr>
        <w:spacing w:line="460" w:lineRule="atLeast"/>
        <w:ind w:firstLine="482" w:firstLineChars="200"/>
        <w:rPr>
          <w:rFonts w:hint="eastAsia" w:ascii="宋体" w:hAnsi="宋体" w:eastAsia="宋体" w:cs="宋体"/>
          <w:b/>
          <w:bCs w:val="0"/>
          <w:color w:val="auto"/>
          <w:sz w:val="24"/>
          <w:highlight w:val="none"/>
          <w:lang w:eastAsia="zh-CN"/>
        </w:rPr>
      </w:pPr>
      <w:r>
        <w:rPr>
          <w:rFonts w:hint="eastAsia" w:ascii="宋体" w:hAnsi="宋体" w:eastAsia="宋体" w:cs="宋体"/>
          <w:b/>
          <w:bCs w:val="0"/>
          <w:color w:val="auto"/>
          <w:sz w:val="24"/>
          <w:highlight w:val="none"/>
          <w:lang w:eastAsia="zh-CN"/>
        </w:rPr>
        <w:t>注：本章的技术、服务及其他要求中，带“★”的要求为实质性要求</w:t>
      </w:r>
      <w:r>
        <w:rPr>
          <w:rFonts w:hint="eastAsia" w:ascii="宋体" w:hAnsi="宋体" w:eastAsia="宋体" w:cs="宋体"/>
          <w:b/>
          <w:bCs w:val="0"/>
          <w:kern w:val="0"/>
          <w:sz w:val="24"/>
          <w:szCs w:val="24"/>
          <w:lang w:val="en-US" w:eastAsia="zh-Hans"/>
        </w:rPr>
        <w:t>，</w:t>
      </w:r>
      <w:r>
        <w:rPr>
          <w:rFonts w:hint="eastAsia" w:ascii="宋体" w:hAnsi="宋体" w:eastAsia="宋体" w:cs="宋体"/>
          <w:b/>
          <w:kern w:val="0"/>
          <w:sz w:val="24"/>
          <w:szCs w:val="24"/>
          <w:lang w:eastAsia="zh-Hans"/>
        </w:rPr>
        <w:t>在响应文件中进行实质性响应，否则作无效投标处理</w:t>
      </w:r>
      <w:r>
        <w:rPr>
          <w:rFonts w:hint="eastAsia" w:ascii="宋体" w:hAnsi="宋体" w:eastAsia="宋体" w:cs="宋体"/>
          <w:b/>
          <w:bCs w:val="0"/>
          <w:color w:val="auto"/>
          <w:sz w:val="24"/>
          <w:highlight w:val="none"/>
          <w:lang w:eastAsia="zh-CN"/>
        </w:rPr>
        <w:t>。</w:t>
      </w:r>
    </w:p>
    <w:p w14:paraId="2DAD6FC0">
      <w:pPr>
        <w:widowControl w:val="0"/>
        <w:tabs>
          <w:tab w:val="left" w:pos="780"/>
        </w:tabs>
        <w:snapToGrid w:val="0"/>
        <w:spacing w:after="0" w:line="460" w:lineRule="atLeast"/>
        <w:ind w:firstLine="480" w:firstLineChars="200"/>
        <w:jc w:val="both"/>
        <w:rPr>
          <w:rFonts w:ascii="宋体" w:hAnsi="宋体" w:eastAsia="宋体" w:cs="宋体"/>
          <w:bCs/>
          <w:kern w:val="0"/>
          <w:sz w:val="24"/>
          <w:szCs w:val="24"/>
          <w:lang w:val="en-US" w:eastAsia="zh-CN" w:bidi="ar-SA"/>
        </w:rPr>
      </w:pPr>
      <w:bookmarkStart w:id="8" w:name="_GoBack"/>
      <w:bookmarkEnd w:id="8"/>
    </w:p>
    <w:p w14:paraId="1FED09A7">
      <w:pPr>
        <w:pStyle w:val="6"/>
        <w:ind w:firstLine="48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62B329E"/>
    <w:rsid w:val="1C7C17C7"/>
    <w:rsid w:val="283A0342"/>
    <w:rsid w:val="3DCE50EF"/>
    <w:rsid w:val="3FCF7DEC"/>
    <w:rsid w:val="407B4C76"/>
    <w:rsid w:val="4AB867C8"/>
    <w:rsid w:val="4DAC4621"/>
    <w:rsid w:val="506317BE"/>
    <w:rsid w:val="5F0F01D8"/>
    <w:rsid w:val="63D26D02"/>
    <w:rsid w:val="74877B56"/>
    <w:rsid w:val="79230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character" w:customStyle="1" w:styleId="7">
    <w:name w:val="font21"/>
    <w:basedOn w:val="5"/>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3520</Words>
  <Characters>3645</Characters>
  <Lines>0</Lines>
  <Paragraphs>0</Paragraphs>
  <TotalTime>0</TotalTime>
  <ScaleCrop>false</ScaleCrop>
  <LinksUpToDate>false</LinksUpToDate>
  <CharactersWithSpaces>3659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TMZ</cp:lastModifiedBy>
  <dcterms:modified xsi:type="dcterms:W3CDTF">2026-08-12T09:16:04Z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11A8E4A81E5C459F8BBBEA788B089B22_11</vt:lpwstr>
  </property>
  <property fmtid="{D5CDD505-2E9C-101B-9397-08002B2CF9AE}" pid="4" name="KSOTemplateDocerSaveRecord">
    <vt:lpwstr>eyJoZGlkIjoiZjEwNDVjNGUyZjJiZDUyNTM1OGUwMzU1NWQ4ZmQ1ZjUiLCJ1c2VySWQiOiI2Mzc3NDI2NjIifQ==</vt:lpwstr>
  </property>
</Properties>
</file>