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05C30">
      <w:pPr>
        <w:pStyle w:val="5"/>
        <w:jc w:val="center"/>
        <w:outlineLvl w:val="0"/>
        <w:rPr>
          <w:rFonts w:hint="eastAsia" w:ascii="仿宋" w:hAnsi="仿宋" w:eastAsia="仿宋" w:cs="仿宋"/>
          <w:highlight w:val="none"/>
        </w:rPr>
      </w:pPr>
      <w:r>
        <w:rPr>
          <w:rFonts w:hint="eastAsia" w:ascii="仿宋" w:hAnsi="仿宋" w:eastAsia="仿宋" w:cs="仿宋"/>
          <w:b/>
          <w:sz w:val="36"/>
          <w:highlight w:val="none"/>
        </w:rPr>
        <w:t>技术、服务及其他要求</w:t>
      </w:r>
    </w:p>
    <w:p w14:paraId="5B6490A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，供应商</w:t>
      </w:r>
      <w:r>
        <w:rPr>
          <w:rFonts w:hint="default" w:ascii="Times New Roman" w:hAnsi="Times New Roman" w:eastAsia="仿宋" w:cs="Times New Roman"/>
          <w:color w:val="auto"/>
          <w:sz w:val="24"/>
          <w:highlight w:val="none"/>
          <w:shd w:val="clear" w:color="auto" w:fill="auto"/>
        </w:rPr>
        <w:t>不满足的，将按照无效</w:t>
      </w:r>
      <w:r>
        <w:rPr>
          <w:rFonts w:hint="eastAsia" w:ascii="Times New Roman" w:hAnsi="Times New Roman" w:eastAsia="仿宋" w:cs="Times New Roman"/>
          <w:color w:val="auto"/>
          <w:sz w:val="24"/>
          <w:highlight w:val="none"/>
          <w:shd w:val="clear" w:color="auto" w:fill="auto"/>
          <w:lang w:eastAsia="zh-CN"/>
        </w:rPr>
        <w:t>响应</w:t>
      </w:r>
      <w:r>
        <w:rPr>
          <w:rFonts w:hint="default" w:ascii="Times New Roman" w:hAnsi="Times New Roman" w:eastAsia="仿宋" w:cs="Times New Roman"/>
          <w:color w:val="auto"/>
          <w:sz w:val="24"/>
          <w:highlight w:val="none"/>
          <w:shd w:val="clear" w:color="auto" w:fill="auto"/>
        </w:rPr>
        <w:t>处理</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24F280AD">
      <w:pPr>
        <w:jc w:val="left"/>
        <w:outlineLvl w:val="2"/>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4BF5287D">
      <w:pPr>
        <w:spacing w:line="360" w:lineRule="auto"/>
        <w:ind w:firstLine="480" w:firstLineChars="200"/>
        <w:jc w:val="left"/>
        <w:outlineLvl w:val="2"/>
        <w:rPr>
          <w:rFonts w:hint="eastAsia" w:ascii="仿宋" w:hAnsi="仿宋" w:eastAsia="仿宋" w:cs="仿宋"/>
          <w:kern w:val="0"/>
          <w:sz w:val="24"/>
          <w:szCs w:val="24"/>
          <w:lang w:val="en-US" w:eastAsia="zh-Hans"/>
        </w:rPr>
      </w:pPr>
      <w:r>
        <w:rPr>
          <w:rFonts w:hint="eastAsia" w:ascii="仿宋" w:hAnsi="仿宋" w:eastAsia="仿宋" w:cs="仿宋"/>
          <w:kern w:val="0"/>
          <w:sz w:val="24"/>
          <w:szCs w:val="24"/>
          <w:lang w:val="en-US" w:eastAsia="zh-Hans"/>
        </w:rPr>
        <w:t>★本项目提供的产品必须为“四川省药品和医用耗材招采管理系统”中已挂网产品（不含正在挂网和备案的产品）。</w:t>
      </w:r>
    </w:p>
    <w:tbl>
      <w:tblPr>
        <w:tblStyle w:val="2"/>
        <w:tblW w:w="508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97"/>
        <w:gridCol w:w="2532"/>
        <w:gridCol w:w="1785"/>
        <w:gridCol w:w="990"/>
        <w:gridCol w:w="1155"/>
        <w:gridCol w:w="1613"/>
      </w:tblGrid>
      <w:tr w14:paraId="409B7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6" w:hRule="atLeast"/>
          <w:jc w:val="center"/>
        </w:trPr>
        <w:tc>
          <w:tcPr>
            <w:tcW w:w="344" w:type="pct"/>
            <w:vAlign w:val="center"/>
          </w:tcPr>
          <w:p w14:paraId="304891E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1459" w:type="pct"/>
            <w:vAlign w:val="center"/>
          </w:tcPr>
          <w:p w14:paraId="6C064382">
            <w:pPr>
              <w:spacing w:line="400" w:lineRule="exact"/>
              <w:jc w:val="center"/>
              <w:rPr>
                <w:rFonts w:hint="eastAsia" w:ascii="仿宋" w:hAnsi="仿宋" w:eastAsia="仿宋" w:cs="仿宋"/>
                <w:b/>
                <w:bCs/>
                <w:sz w:val="22"/>
                <w:szCs w:val="22"/>
                <w:lang w:val="en-US" w:eastAsia="zh-CN"/>
              </w:rPr>
            </w:pPr>
            <w:r>
              <w:rPr>
                <w:rFonts w:hint="default" w:ascii="Times New Roman" w:hAnsi="Times New Roman" w:eastAsia="仿宋" w:cs="Times New Roman"/>
                <w:b/>
                <w:bCs/>
                <w:color w:val="auto"/>
                <w:sz w:val="22"/>
                <w:szCs w:val="22"/>
                <w:highlight w:val="none"/>
                <w:shd w:val="clear" w:color="auto" w:fill="auto"/>
                <w:lang w:val="en-US" w:eastAsia="zh-CN"/>
              </w:rPr>
              <w:t>标的名称</w:t>
            </w:r>
          </w:p>
        </w:tc>
        <w:tc>
          <w:tcPr>
            <w:tcW w:w="1029" w:type="pct"/>
            <w:vAlign w:val="center"/>
          </w:tcPr>
          <w:p w14:paraId="4B4CA224">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最高单价限价（</w:t>
            </w:r>
            <w:r>
              <w:rPr>
                <w:rFonts w:hint="default" w:ascii="Times New Roman" w:hAnsi="Times New Roman" w:eastAsia="仿宋" w:cs="Times New Roman"/>
                <w:b/>
                <w:bCs/>
                <w:color w:val="auto"/>
                <w:sz w:val="22"/>
                <w:szCs w:val="22"/>
                <w:highlight w:val="none"/>
                <w:shd w:val="clear" w:color="auto" w:fill="auto"/>
                <w:lang w:val="en-US" w:eastAsia="zh-CN"/>
              </w:rPr>
              <w:t>元</w:t>
            </w:r>
            <w:r>
              <w:rPr>
                <w:rFonts w:hint="eastAsia" w:ascii="Times New Roman" w:hAnsi="Times New Roman" w:eastAsia="仿宋" w:cs="Times New Roman"/>
                <w:b/>
                <w:bCs/>
                <w:color w:val="auto"/>
                <w:sz w:val="22"/>
                <w:szCs w:val="22"/>
                <w:highlight w:val="none"/>
                <w:shd w:val="clear" w:color="auto" w:fill="auto"/>
                <w:lang w:val="en-US" w:eastAsia="zh-CN"/>
              </w:rPr>
              <w:t>）</w:t>
            </w:r>
          </w:p>
        </w:tc>
        <w:tc>
          <w:tcPr>
            <w:tcW w:w="570" w:type="pct"/>
            <w:vAlign w:val="center"/>
          </w:tcPr>
          <w:p w14:paraId="4369FE24">
            <w:pPr>
              <w:spacing w:line="400" w:lineRule="exact"/>
              <w:jc w:val="center"/>
              <w:rPr>
                <w:rFonts w:hint="eastAsia" w:eastAsia="仿宋" w:cs="Times New Roman"/>
                <w:b/>
                <w:bCs/>
                <w:color w:val="auto"/>
                <w:sz w:val="22"/>
                <w:szCs w:val="22"/>
                <w:highlight w:val="none"/>
                <w:shd w:val="clear" w:color="auto" w:fill="auto"/>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使用</w:t>
            </w:r>
            <w:r>
              <w:rPr>
                <w:rFonts w:hint="eastAsia" w:eastAsia="仿宋" w:cs="Times New Roman"/>
                <w:b/>
                <w:bCs/>
                <w:color w:val="auto"/>
                <w:sz w:val="22"/>
                <w:szCs w:val="22"/>
                <w:highlight w:val="none"/>
                <w:shd w:val="clear" w:color="auto" w:fill="auto"/>
                <w:lang w:val="en-US" w:eastAsia="zh-CN"/>
              </w:rPr>
              <w:t xml:space="preserve"> </w:t>
            </w:r>
          </w:p>
          <w:p w14:paraId="539041BF">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数量</w:t>
            </w:r>
          </w:p>
        </w:tc>
        <w:tc>
          <w:tcPr>
            <w:tcW w:w="665" w:type="pct"/>
            <w:vAlign w:val="center"/>
          </w:tcPr>
          <w:p w14:paraId="5458F6EC">
            <w:pPr>
              <w:spacing w:line="400" w:lineRule="exact"/>
              <w:jc w:val="center"/>
              <w:rPr>
                <w:rFonts w:hint="eastAsia" w:ascii="仿宋" w:hAnsi="仿宋" w:eastAsia="仿宋" w:cs="仿宋"/>
                <w:b/>
                <w:bCs/>
                <w:sz w:val="22"/>
                <w:szCs w:val="22"/>
                <w:lang w:val="en-US" w:eastAsia="zh-CN"/>
              </w:rPr>
            </w:pPr>
            <w:r>
              <w:rPr>
                <w:rFonts w:hint="default" w:ascii="Times New Roman" w:hAnsi="Times New Roman" w:eastAsia="仿宋" w:cs="Times New Roman"/>
                <w:b/>
                <w:bCs/>
                <w:color w:val="auto"/>
                <w:sz w:val="22"/>
                <w:szCs w:val="22"/>
                <w:highlight w:val="none"/>
                <w:shd w:val="clear" w:color="auto" w:fill="auto"/>
                <w:lang w:val="en-US" w:eastAsia="zh-CN"/>
              </w:rPr>
              <w:t>计量单位</w:t>
            </w:r>
          </w:p>
        </w:tc>
        <w:tc>
          <w:tcPr>
            <w:tcW w:w="930" w:type="pct"/>
            <w:vAlign w:val="center"/>
          </w:tcPr>
          <w:p w14:paraId="51475CCF">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项目最高限价（</w:t>
            </w:r>
            <w:r>
              <w:rPr>
                <w:rFonts w:hint="default" w:ascii="Times New Roman" w:hAnsi="Times New Roman" w:eastAsia="仿宋" w:cs="Times New Roman"/>
                <w:b/>
                <w:bCs/>
                <w:color w:val="auto"/>
                <w:sz w:val="22"/>
                <w:szCs w:val="22"/>
                <w:highlight w:val="none"/>
                <w:shd w:val="clear" w:color="auto" w:fill="auto"/>
                <w:lang w:val="en-US" w:eastAsia="zh-CN"/>
              </w:rPr>
              <w:t>元</w:t>
            </w:r>
            <w:r>
              <w:rPr>
                <w:rFonts w:hint="eastAsia" w:ascii="Times New Roman" w:hAnsi="Times New Roman" w:eastAsia="仿宋" w:cs="Times New Roman"/>
                <w:b/>
                <w:bCs/>
                <w:color w:val="auto"/>
                <w:sz w:val="22"/>
                <w:szCs w:val="22"/>
                <w:highlight w:val="none"/>
                <w:shd w:val="clear" w:color="auto" w:fill="auto"/>
                <w:lang w:val="en-US" w:eastAsia="zh-CN"/>
              </w:rPr>
              <w:t>）</w:t>
            </w:r>
          </w:p>
        </w:tc>
      </w:tr>
      <w:tr w14:paraId="7A220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22316A2E">
            <w:pPr>
              <w:keepNext w:val="0"/>
              <w:keepLines w:val="0"/>
              <w:widowControl/>
              <w:suppressLineNumbers w:val="0"/>
              <w:spacing w:line="360" w:lineRule="auto"/>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1</w:t>
            </w:r>
          </w:p>
        </w:tc>
        <w:tc>
          <w:tcPr>
            <w:tcW w:w="1459" w:type="pct"/>
            <w:vAlign w:val="center"/>
          </w:tcPr>
          <w:p w14:paraId="066FD096">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液态栓塞系统</w:t>
            </w:r>
          </w:p>
        </w:tc>
        <w:tc>
          <w:tcPr>
            <w:tcW w:w="1029" w:type="pct"/>
            <w:vAlign w:val="center"/>
          </w:tcPr>
          <w:p w14:paraId="40156C38">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6100</w:t>
            </w:r>
          </w:p>
        </w:tc>
        <w:tc>
          <w:tcPr>
            <w:tcW w:w="570" w:type="pct"/>
            <w:vAlign w:val="center"/>
          </w:tcPr>
          <w:p w14:paraId="3AB5B5E2">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按计划</w:t>
            </w:r>
          </w:p>
        </w:tc>
        <w:tc>
          <w:tcPr>
            <w:tcW w:w="665" w:type="pct"/>
            <w:vAlign w:val="center"/>
          </w:tcPr>
          <w:p w14:paraId="31C83B61">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套</w:t>
            </w:r>
          </w:p>
        </w:tc>
        <w:tc>
          <w:tcPr>
            <w:tcW w:w="930" w:type="pct"/>
            <w:vAlign w:val="center"/>
          </w:tcPr>
          <w:p w14:paraId="15954ECF">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bl>
    <w:p w14:paraId="519B04D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707E4CA3">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3.2.技术要求</w:t>
      </w:r>
    </w:p>
    <w:tbl>
      <w:tblPr>
        <w:tblStyle w:val="3"/>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93"/>
        <w:gridCol w:w="1335"/>
        <w:gridCol w:w="2460"/>
        <w:gridCol w:w="2250"/>
        <w:gridCol w:w="987"/>
      </w:tblGrid>
      <w:tr w14:paraId="7402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36" w:type="dxa"/>
            <w:noWrap w:val="0"/>
            <w:vAlign w:val="center"/>
          </w:tcPr>
          <w:p w14:paraId="78AEF403">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993" w:type="dxa"/>
            <w:noWrap w:val="0"/>
            <w:vAlign w:val="center"/>
          </w:tcPr>
          <w:p w14:paraId="1F6BE81F">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335" w:type="dxa"/>
            <w:noWrap w:val="0"/>
            <w:vAlign w:val="center"/>
          </w:tcPr>
          <w:p w14:paraId="76DF0057">
            <w:pPr>
              <w:numPr>
                <w:ilvl w:val="0"/>
                <w:numId w:val="0"/>
              </w:numPr>
              <w:tabs>
                <w:tab w:val="left" w:pos="403"/>
              </w:tabs>
              <w:spacing w:line="240" w:lineRule="auto"/>
              <w:ind w:left="0" w:leftChars="0" w:firstLine="0" w:firstLineChars="0"/>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w:t>
            </w:r>
          </w:p>
          <w:p w14:paraId="56AC5F99">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代码</w:t>
            </w:r>
          </w:p>
        </w:tc>
        <w:tc>
          <w:tcPr>
            <w:tcW w:w="2460" w:type="dxa"/>
            <w:noWrap w:val="0"/>
            <w:vAlign w:val="center"/>
          </w:tcPr>
          <w:p w14:paraId="05A766A1">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 预期用途/适应症</w:t>
            </w:r>
          </w:p>
        </w:tc>
        <w:tc>
          <w:tcPr>
            <w:tcW w:w="2250" w:type="dxa"/>
            <w:noWrap w:val="0"/>
            <w:vAlign w:val="center"/>
          </w:tcPr>
          <w:p w14:paraId="709BA1BA">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预期使用的规格型号或配置组成等情况</w:t>
            </w:r>
          </w:p>
        </w:tc>
        <w:tc>
          <w:tcPr>
            <w:tcW w:w="987" w:type="dxa"/>
            <w:noWrap w:val="0"/>
            <w:vAlign w:val="center"/>
          </w:tcPr>
          <w:p w14:paraId="03025B19">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★是否提供样品</w:t>
            </w:r>
          </w:p>
        </w:tc>
      </w:tr>
      <w:tr w14:paraId="6D34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636" w:type="dxa"/>
            <w:noWrap w:val="0"/>
            <w:vAlign w:val="center"/>
          </w:tcPr>
          <w:p w14:paraId="6B12BA85">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w:t>
            </w:r>
          </w:p>
        </w:tc>
        <w:tc>
          <w:tcPr>
            <w:tcW w:w="993" w:type="dxa"/>
            <w:noWrap w:val="0"/>
            <w:vAlign w:val="center"/>
          </w:tcPr>
          <w:p w14:paraId="5F16D8C7">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液态栓塞系统</w:t>
            </w:r>
          </w:p>
        </w:tc>
        <w:tc>
          <w:tcPr>
            <w:tcW w:w="1335" w:type="dxa"/>
            <w:noWrap w:val="0"/>
            <w:vAlign w:val="center"/>
          </w:tcPr>
          <w:p w14:paraId="44F0AC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C020517065</w:t>
            </w:r>
          </w:p>
        </w:tc>
        <w:tc>
          <w:tcPr>
            <w:tcW w:w="2460" w:type="dxa"/>
            <w:noWrap w:val="0"/>
            <w:vAlign w:val="center"/>
          </w:tcPr>
          <w:p w14:paraId="3C4AAB6E">
            <w:pPr>
              <w:keepNext w:val="0"/>
              <w:keepLines w:val="0"/>
              <w:widowControl/>
              <w:suppressLineNumbers w:val="0"/>
              <w:jc w:val="both"/>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适应症：颅内脑动静脉畸形bAVM（最主要），超选栓塞畸形血管巢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硬脑膜动静脉瘘DAVF</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脑膜中动脉栓塞：慢性/亚急性硬膜下血肿，降低复发率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富血供肿瘤术前栓塞（脑膜瘤等）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颅外：外周动静脉畸形、假性动脉瘤、Ⅱ型内漏、出血栓塞。</w:t>
            </w:r>
          </w:p>
        </w:tc>
        <w:tc>
          <w:tcPr>
            <w:tcW w:w="2250" w:type="dxa"/>
            <w:noWrap w:val="0"/>
            <w:vAlign w:val="center"/>
          </w:tcPr>
          <w:p w14:paraId="40B3969D">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配置组成核心成分：EVOH乙烯</w:t>
            </w:r>
            <w:r>
              <w:rPr>
                <w:rStyle w:val="6"/>
                <w:rFonts w:eastAsia="仿宋"/>
                <w:lang w:val="en-US" w:eastAsia="zh-CN" w:bidi="ar"/>
              </w:rPr>
              <w:noBreakHyphen/>
            </w:r>
            <w:r>
              <w:rPr>
                <w:rStyle w:val="7"/>
                <w:lang w:val="en-US" w:eastAsia="zh-CN" w:bidi="ar"/>
              </w:rPr>
              <w:t>乙烯醇共聚物 + DMSO二甲基亚砜 + 钽粉显影剂，DMSO溶解时为液态，接触血液溶剂析出，聚合物沉淀固化成型，非粘附性胶，不粘导管壁。</w:t>
            </w:r>
          </w:p>
        </w:tc>
        <w:tc>
          <w:tcPr>
            <w:tcW w:w="987" w:type="dxa"/>
            <w:noWrap w:val="0"/>
            <w:vAlign w:val="center"/>
          </w:tcPr>
          <w:p w14:paraId="4C67FB84">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bl>
    <w:p w14:paraId="5A113A5D">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3.3.项目采购要求</w:t>
      </w:r>
    </w:p>
    <w:p w14:paraId="37A6519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62CDB2B">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本项目所有标的均须提供挂网产品。</w:t>
      </w:r>
    </w:p>
    <w:p w14:paraId="356D75C9">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注：本项目中所指“挂网产品”，为“四川省药品和医用耗材招采管理系统”中已挂网产品（不含正在挂网和备案的产品）。</w:t>
      </w:r>
    </w:p>
    <w:p w14:paraId="0E4FBA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sz w:val="28"/>
          <w:lang w:val="en-US" w:eastAsia="zh-CN"/>
        </w:rPr>
      </w:pPr>
      <w:r>
        <w:rPr>
          <w:rFonts w:hint="eastAsia" w:ascii="仿宋" w:hAnsi="仿宋" w:eastAsia="仿宋" w:cs="仿宋"/>
          <w:b/>
          <w:sz w:val="28"/>
          <w:lang w:val="en-US" w:eastAsia="zh-CN"/>
        </w:rPr>
        <w:t>★二、</w:t>
      </w:r>
      <w:r>
        <w:rPr>
          <w:rFonts w:hint="default" w:ascii="仿宋" w:hAnsi="仿宋" w:eastAsia="仿宋" w:cs="仿宋"/>
          <w:b/>
          <w:sz w:val="28"/>
          <w:lang w:val="en-US" w:eastAsia="zh-CN"/>
        </w:rPr>
        <w:t>样品要求</w:t>
      </w:r>
    </w:p>
    <w:p w14:paraId="088FADD5">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1.必须提供样品，以供评审专家现场评审。（如响应的同一标的存在材质相同的多个型号，竞选人可提供承诺函证明标的产品与样品为同一材质，可提供其中一样作为样品。）</w:t>
      </w:r>
    </w:p>
    <w:p w14:paraId="52A94C0C">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2.提交的样品不符合实际需求或存在原理错误则视为无效响应。</w:t>
      </w:r>
    </w:p>
    <w:p w14:paraId="6E1892A5">
      <w:pPr>
        <w:spacing w:line="360" w:lineRule="auto"/>
        <w:ind w:firstLine="480"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3.本项目供应商提供的样品，应与该供应商响应文件保持一致（具体参考《医疗器械说明书和标签管理规定》）。</w:t>
      </w:r>
    </w:p>
    <w:p w14:paraId="2D1DDFF2">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34AD07B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p>
    <w:p w14:paraId="51468D3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（一）服务期限</w:t>
      </w:r>
    </w:p>
    <w:p w14:paraId="33D0FB4B">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每次配送时间必须严格按照采购人配送通知执行，成交供应商应于收到通知后2小时内响应。急用产品的配送时间不应超过4小时，一般产品原则上的配送时间不应超过2个工作日。</w:t>
      </w:r>
    </w:p>
    <w:p w14:paraId="13F125D0">
      <w:pPr>
        <w:keepNext w:val="0"/>
        <w:keepLines w:val="0"/>
        <w:pageBreakBefore w:val="0"/>
        <w:numPr>
          <w:ilvl w:val="0"/>
          <w:numId w:val="1"/>
        </w:numPr>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服务地点</w:t>
      </w:r>
    </w:p>
    <w:p w14:paraId="44C038A0">
      <w:pPr>
        <w:keepNext w:val="0"/>
        <w:keepLines w:val="0"/>
        <w:pageBreakBefore w:val="0"/>
        <w:numPr>
          <w:ilvl w:val="0"/>
          <w:numId w:val="0"/>
        </w:numPr>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内江市第一人民医院院内。</w:t>
      </w:r>
    </w:p>
    <w:p w14:paraId="298E0B7E">
      <w:pPr>
        <w:pStyle w:val="5"/>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（三）付款方式和条件</w:t>
      </w:r>
    </w:p>
    <w:p w14:paraId="08775B0A">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w:t>
      </w:r>
      <w:r>
        <w:rPr>
          <w:rFonts w:hint="default" w:ascii="仿宋" w:hAnsi="仿宋" w:eastAsia="仿宋" w:cs="仿宋"/>
          <w:b w:val="0"/>
          <w:bCs w:val="0"/>
          <w:color w:val="000000"/>
          <w:kern w:val="0"/>
          <w:sz w:val="24"/>
          <w:szCs w:val="24"/>
          <w:highlight w:val="none"/>
          <w:u w:val="none"/>
          <w:lang w:val="en-US" w:eastAsia="zh-CN" w:bidi="ar"/>
        </w:rPr>
        <w:t>结算方式：</w:t>
      </w:r>
      <w:r>
        <w:rPr>
          <w:rFonts w:hint="eastAsia" w:ascii="仿宋" w:hAnsi="仿宋" w:eastAsia="仿宋" w:cs="仿宋"/>
          <w:b w:val="0"/>
          <w:bCs w:val="0"/>
          <w:color w:val="000000"/>
          <w:kern w:val="0"/>
          <w:sz w:val="24"/>
          <w:szCs w:val="24"/>
          <w:highlight w:val="none"/>
          <w:u w:val="none"/>
          <w:lang w:val="en-US" w:eastAsia="zh-CN" w:bidi="ar"/>
        </w:rPr>
        <w:t>双方同意以采购人财务制度规定的付款时间及付款要求进行结算，供应商已完全了解并清楚采购人的财务制度，供应商对采购人财务制度规定的付款要求及付款时间不持异议</w:t>
      </w:r>
      <w:r>
        <w:rPr>
          <w:rFonts w:hint="default" w:ascii="仿宋" w:hAnsi="仿宋" w:eastAsia="仿宋" w:cs="仿宋"/>
          <w:b w:val="0"/>
          <w:bCs w:val="0"/>
          <w:color w:val="000000"/>
          <w:kern w:val="0"/>
          <w:sz w:val="24"/>
          <w:szCs w:val="24"/>
          <w:highlight w:val="none"/>
          <w:u w:val="none"/>
          <w:lang w:val="en-US" w:eastAsia="zh-CN" w:bidi="ar"/>
        </w:rPr>
        <w:t>。</w:t>
      </w:r>
    </w:p>
    <w:p w14:paraId="635AE920">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w:t>
      </w:r>
      <w:r>
        <w:rPr>
          <w:rFonts w:hint="default" w:ascii="仿宋" w:hAnsi="仿宋" w:eastAsia="仿宋" w:cs="仿宋"/>
          <w:b w:val="0"/>
          <w:bCs w:val="0"/>
          <w:color w:val="000000"/>
          <w:kern w:val="0"/>
          <w:sz w:val="24"/>
          <w:szCs w:val="24"/>
          <w:highlight w:val="none"/>
          <w:u w:val="none"/>
          <w:lang w:val="en-US" w:eastAsia="zh-CN" w:bidi="ar"/>
        </w:rPr>
        <w:t>成交价格包含成本、运输、包装、培训、配送、伴随服务、税费及其他附加费用</w:t>
      </w:r>
      <w:r>
        <w:rPr>
          <w:rFonts w:hint="eastAsia" w:ascii="仿宋" w:hAnsi="仿宋" w:eastAsia="仿宋" w:cs="仿宋"/>
          <w:b w:val="0"/>
          <w:bCs w:val="0"/>
          <w:color w:val="000000"/>
          <w:kern w:val="0"/>
          <w:sz w:val="24"/>
          <w:szCs w:val="24"/>
          <w:highlight w:val="none"/>
          <w:u w:val="none"/>
          <w:lang w:val="en-US" w:eastAsia="zh-Hans" w:bidi="ar"/>
        </w:rPr>
        <w:t>等一切费用</w:t>
      </w:r>
      <w:r>
        <w:rPr>
          <w:rFonts w:hint="default" w:ascii="仿宋" w:hAnsi="仿宋" w:eastAsia="仿宋" w:cs="仿宋"/>
          <w:b w:val="0"/>
          <w:bCs w:val="0"/>
          <w:color w:val="000000"/>
          <w:kern w:val="0"/>
          <w:sz w:val="24"/>
          <w:szCs w:val="24"/>
          <w:highlight w:val="none"/>
          <w:u w:val="none"/>
          <w:lang w:val="en-US" w:eastAsia="zh-CN" w:bidi="ar"/>
        </w:rPr>
        <w:t>。</w:t>
      </w:r>
    </w:p>
    <w:p w14:paraId="4AACD97E">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3.若本项目中限定了标的数量或金额，成交供应商应严格按照响应内容执行，采购人有权拒绝支付超出响应范围</w:t>
      </w:r>
      <w:r>
        <w:rPr>
          <w:rFonts w:hint="eastAsia" w:ascii="仿宋" w:hAnsi="仿宋" w:eastAsia="仿宋" w:cs="仿宋"/>
          <w:b w:val="0"/>
          <w:bCs w:val="0"/>
          <w:color w:val="000000"/>
          <w:kern w:val="0"/>
          <w:sz w:val="24"/>
          <w:szCs w:val="24"/>
          <w:highlight w:val="none"/>
          <w:u w:val="none"/>
          <w:lang w:val="en-US" w:eastAsia="zh-Hans" w:bidi="ar"/>
        </w:rPr>
        <w:t>的</w:t>
      </w:r>
      <w:r>
        <w:rPr>
          <w:rFonts w:hint="eastAsia" w:ascii="仿宋" w:hAnsi="仿宋" w:eastAsia="仿宋" w:cs="仿宋"/>
          <w:b w:val="0"/>
          <w:bCs w:val="0"/>
          <w:color w:val="000000"/>
          <w:kern w:val="0"/>
          <w:sz w:val="24"/>
          <w:szCs w:val="24"/>
          <w:highlight w:val="none"/>
          <w:u w:val="none"/>
          <w:lang w:val="en-US" w:eastAsia="zh-CN" w:bidi="ar"/>
        </w:rPr>
        <w:t>任何内容。</w:t>
      </w:r>
    </w:p>
    <w:p w14:paraId="00A9D570">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（四）验收、交付标准和方法</w:t>
      </w:r>
    </w:p>
    <w:p w14:paraId="496BB41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按照《财政部关于进一步加强政府采购需求和履约验收管理的指导意见》（财库〔2016〕205号）的要求以及采购人</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的质量要求和技术指标、</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的</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及承诺（若有）、国家（行业）标准、采购合同约定标准进行验收</w:t>
      </w:r>
      <w:r>
        <w:rPr>
          <w:rFonts w:hint="eastAsia" w:ascii="仿宋" w:hAnsi="仿宋" w:eastAsia="仿宋" w:cs="仿宋"/>
          <w:b w:val="0"/>
          <w:bCs w:val="0"/>
          <w:kern w:val="0"/>
          <w:sz w:val="24"/>
          <w:szCs w:val="24"/>
          <w:lang w:val="en-US" w:eastAsia="zh-CN"/>
        </w:rPr>
        <w:t>。</w:t>
      </w:r>
    </w:p>
    <w:p w14:paraId="1210358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验收时如发现所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承担，验收期限相应顺延</w:t>
      </w:r>
      <w:r>
        <w:rPr>
          <w:rFonts w:hint="eastAsia" w:ascii="仿宋" w:hAnsi="仿宋" w:eastAsia="仿宋" w:cs="仿宋"/>
          <w:b w:val="0"/>
          <w:bCs w:val="0"/>
          <w:kern w:val="0"/>
          <w:sz w:val="24"/>
          <w:szCs w:val="24"/>
          <w:lang w:val="en-US" w:eastAsia="zh-CN"/>
        </w:rPr>
        <w:t>。</w:t>
      </w:r>
    </w:p>
    <w:p w14:paraId="23651ED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货物不符合验收标准，</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经过2次</w:t>
      </w:r>
      <w:r>
        <w:rPr>
          <w:rFonts w:hint="eastAsia" w:ascii="仿宋" w:hAnsi="仿宋" w:eastAsia="仿宋" w:cs="仿宋"/>
          <w:b w:val="0"/>
          <w:bCs w:val="0"/>
          <w:kern w:val="0"/>
          <w:sz w:val="24"/>
          <w:szCs w:val="24"/>
          <w:lang w:val="en-US" w:eastAsia="zh-Hans"/>
        </w:rPr>
        <w:t>更</w:t>
      </w:r>
      <w:r>
        <w:rPr>
          <w:rFonts w:hint="default" w:ascii="仿宋" w:hAnsi="仿宋" w:eastAsia="仿宋" w:cs="仿宋"/>
          <w:b w:val="0"/>
          <w:bCs w:val="0"/>
          <w:kern w:val="0"/>
          <w:sz w:val="24"/>
          <w:szCs w:val="24"/>
          <w:lang w:val="en-US" w:eastAsia="zh-CN"/>
        </w:rPr>
        <w:t>换后仍不能达到验收质量标准，则视为验收不合格，采购人有权全部（或部分）退货或解除合同。接到采购人退货通知，</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除应及时运走采购人退还的货物外（若涉及费用或损失均由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自行承担），还应向采购人承担相应的违约责任。</w:t>
      </w:r>
    </w:p>
    <w:p w14:paraId="7255B3B3">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其他未尽事宜严格按照《财政部关于进一步加强政府采购需求和履约验收管理的指导意见》（财库〔2016〕205号）的要求进行。</w:t>
      </w:r>
    </w:p>
    <w:p w14:paraId="4AF56AE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5.所配送耗材的技术参数与性能指标中涉及到的国家标准、行业标准或地方标准，若有最新标准以最新标准为准。</w:t>
      </w:r>
    </w:p>
    <w:p w14:paraId="528230AA">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b/>
          <w:bCs/>
          <w:color w:val="000000"/>
          <w:sz w:val="24"/>
          <w:szCs w:val="24"/>
          <w:lang w:val="en-US" w:eastAsia="zh-CN"/>
        </w:rPr>
        <w:t>（五）售后服</w:t>
      </w:r>
      <w:r>
        <w:rPr>
          <w:rFonts w:hint="eastAsia" w:ascii="楷体" w:hAnsi="楷体" w:eastAsia="楷体" w:cs="楷体"/>
          <w:b/>
          <w:bCs/>
          <w:color w:val="auto"/>
          <w:sz w:val="24"/>
          <w:szCs w:val="24"/>
          <w:highlight w:val="none"/>
          <w:shd w:val="clear" w:color="auto" w:fill="auto"/>
          <w:lang w:val="en-US" w:eastAsia="zh-CN"/>
        </w:rPr>
        <w:t>务</w:t>
      </w:r>
    </w:p>
    <w:p w14:paraId="54C28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必须严格按照</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要求和</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中的承诺提供配送服务。如果配送的医用耗材规格、包装等信息与中标产品的规格、包装等信息不一致并不同意更换的，或配送的医用耗材和中标产品不一致的，采购人有权终止合同。</w:t>
      </w:r>
    </w:p>
    <w:p w14:paraId="6DE878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指派专人负责与采购人联系售后服务事宜；</w:t>
      </w:r>
      <w:r>
        <w:rPr>
          <w:rFonts w:hint="default" w:ascii="仿宋" w:hAnsi="仿宋" w:eastAsia="仿宋" w:cs="仿宋"/>
          <w:b/>
          <w:bCs/>
          <w:kern w:val="0"/>
          <w:sz w:val="24"/>
          <w:szCs w:val="24"/>
          <w:lang w:val="en-US" w:eastAsia="zh-CN"/>
        </w:rPr>
        <w:t>在</w:t>
      </w:r>
      <w:r>
        <w:rPr>
          <w:rFonts w:hint="eastAsia" w:ascii="仿宋" w:hAnsi="仿宋" w:eastAsia="仿宋" w:cs="仿宋"/>
          <w:b/>
          <w:bCs/>
          <w:kern w:val="0"/>
          <w:sz w:val="24"/>
          <w:szCs w:val="24"/>
          <w:lang w:val="en-US" w:eastAsia="zh-CN"/>
        </w:rPr>
        <w:t>响应文件</w:t>
      </w:r>
      <w:r>
        <w:rPr>
          <w:rFonts w:hint="default" w:ascii="仿宋" w:hAnsi="仿宋" w:eastAsia="仿宋" w:cs="仿宋"/>
          <w:b/>
          <w:bCs/>
          <w:kern w:val="0"/>
          <w:sz w:val="24"/>
          <w:szCs w:val="24"/>
          <w:lang w:val="en-US" w:eastAsia="zh-CN"/>
        </w:rPr>
        <w:t>中列明售后联系人及联系电话</w:t>
      </w:r>
      <w:r>
        <w:rPr>
          <w:rFonts w:hint="default" w:ascii="仿宋" w:hAnsi="仿宋" w:eastAsia="仿宋" w:cs="仿宋"/>
          <w:b w:val="0"/>
          <w:bCs w:val="0"/>
          <w:kern w:val="0"/>
          <w:sz w:val="24"/>
          <w:szCs w:val="24"/>
          <w:lang w:val="en-US" w:eastAsia="zh-CN"/>
        </w:rPr>
        <w:t>。</w:t>
      </w:r>
    </w:p>
    <w:p w14:paraId="46A2C1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5BFB5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耗材临近失效期，采购人提前三个月向</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提出更换，</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须在耗材失效前一个月更换完毕，不得以任何理由进行推诿。</w:t>
      </w:r>
    </w:p>
    <w:p w14:paraId="4F425D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w:t>
      </w:r>
      <w:r>
        <w:rPr>
          <w:rFonts w:hint="default" w:ascii="仿宋" w:hAnsi="仿宋" w:eastAsia="仿宋" w:cs="仿宋"/>
          <w:b w:val="0"/>
          <w:bCs w:val="0"/>
          <w:kern w:val="0"/>
          <w:sz w:val="24"/>
          <w:szCs w:val="24"/>
          <w:lang w:val="en-US" w:eastAsia="zh-CN"/>
        </w:rPr>
        <w:t>必须随货提供其具备医疗器械经营企业的有关合法有效的手续（包括但不限于）：</w:t>
      </w:r>
    </w:p>
    <w:p w14:paraId="5DAB40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5.1</w:t>
      </w:r>
      <w:r>
        <w:rPr>
          <w:rFonts w:hint="default" w:ascii="仿宋" w:hAnsi="仿宋" w:eastAsia="仿宋" w:cs="仿宋"/>
          <w:b w:val="0"/>
          <w:bCs w:val="0"/>
          <w:kern w:val="0"/>
          <w:sz w:val="24"/>
          <w:szCs w:val="24"/>
          <w:lang w:val="en-US" w:eastAsia="zh-CN"/>
        </w:rPr>
        <w:t>产品所涉及逐级授权经销商的医疗器械生产（经营）许可证或生产（经营）企业备案表；</w:t>
      </w:r>
    </w:p>
    <w:p w14:paraId="35A822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5.2</w:t>
      </w:r>
      <w:r>
        <w:rPr>
          <w:rFonts w:hint="default" w:ascii="仿宋" w:hAnsi="仿宋" w:eastAsia="仿宋" w:cs="仿宋"/>
          <w:b w:val="0"/>
          <w:bCs w:val="0"/>
          <w:kern w:val="0"/>
          <w:sz w:val="24"/>
          <w:szCs w:val="24"/>
          <w:lang w:val="en-US" w:eastAsia="zh-CN"/>
        </w:rPr>
        <w:t>医疗器械产品注册证或备案凭证；</w:t>
      </w:r>
    </w:p>
    <w:p w14:paraId="5D8239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5.3</w:t>
      </w:r>
      <w:r>
        <w:rPr>
          <w:rFonts w:hint="default" w:ascii="仿宋" w:hAnsi="仿宋" w:eastAsia="仿宋" w:cs="仿宋"/>
          <w:b w:val="0"/>
          <w:bCs w:val="0"/>
          <w:kern w:val="0"/>
          <w:sz w:val="24"/>
          <w:szCs w:val="24"/>
          <w:lang w:val="en-US" w:eastAsia="zh-CN"/>
        </w:rPr>
        <w:t>医疗器械生产企业许可证；</w:t>
      </w:r>
    </w:p>
    <w:p w14:paraId="2F3D92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5.4</w:t>
      </w:r>
      <w:r>
        <w:rPr>
          <w:rFonts w:hint="default" w:ascii="仿宋" w:hAnsi="仿宋" w:eastAsia="仿宋" w:cs="仿宋"/>
          <w:b w:val="0"/>
          <w:bCs w:val="0"/>
          <w:kern w:val="0"/>
          <w:sz w:val="24"/>
          <w:szCs w:val="24"/>
          <w:lang w:val="en-US" w:eastAsia="zh-CN"/>
        </w:rPr>
        <w:t>经销商获得的委托授权书（逐级）；</w:t>
      </w:r>
    </w:p>
    <w:p w14:paraId="3925E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5.5</w:t>
      </w:r>
      <w:r>
        <w:rPr>
          <w:rFonts w:hint="default" w:ascii="仿宋" w:hAnsi="仿宋" w:eastAsia="仿宋" w:cs="仿宋"/>
          <w:b w:val="0"/>
          <w:bCs w:val="0"/>
          <w:kern w:val="0"/>
          <w:sz w:val="24"/>
          <w:szCs w:val="24"/>
          <w:lang w:val="en-US" w:eastAsia="zh-CN"/>
        </w:rPr>
        <w:t>产品所涉及逐级授权经销商的企业法人营业执照。</w:t>
      </w:r>
    </w:p>
    <w:p w14:paraId="60F69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5.6</w:t>
      </w:r>
      <w:r>
        <w:rPr>
          <w:rFonts w:hint="default" w:ascii="仿宋" w:hAnsi="仿宋" w:eastAsia="仿宋" w:cs="仿宋"/>
          <w:b w:val="0"/>
          <w:bCs w:val="0"/>
          <w:kern w:val="0"/>
          <w:sz w:val="24"/>
          <w:szCs w:val="24"/>
          <w:lang w:val="en-US" w:eastAsia="zh-CN"/>
        </w:rPr>
        <w:t>采购人要求提供的相关资料。</w:t>
      </w:r>
    </w:p>
    <w:p w14:paraId="0F25F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w:t>
      </w:r>
      <w:r>
        <w:rPr>
          <w:rFonts w:hint="default" w:ascii="仿宋" w:hAnsi="仿宋" w:eastAsia="仿宋" w:cs="仿宋"/>
          <w:b w:val="0"/>
          <w:bCs w:val="0"/>
          <w:kern w:val="0"/>
          <w:sz w:val="24"/>
          <w:szCs w:val="24"/>
          <w:lang w:val="en-US" w:eastAsia="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或厂家原因无法按上述要求执行的，则采购人可以</w:t>
      </w:r>
      <w:r>
        <w:rPr>
          <w:rFonts w:hint="eastAsia" w:ascii="仿宋" w:hAnsi="仿宋" w:eastAsia="仿宋" w:cs="仿宋"/>
          <w:b w:val="0"/>
          <w:bCs w:val="0"/>
          <w:kern w:val="0"/>
          <w:sz w:val="24"/>
          <w:szCs w:val="24"/>
          <w:lang w:val="en-US" w:eastAsia="zh-CN"/>
        </w:rPr>
        <w:t>部分</w:t>
      </w:r>
      <w:r>
        <w:rPr>
          <w:rFonts w:hint="default" w:ascii="仿宋" w:hAnsi="仿宋" w:eastAsia="仿宋" w:cs="仿宋"/>
          <w:b w:val="0"/>
          <w:bCs w:val="0"/>
          <w:kern w:val="0"/>
          <w:sz w:val="24"/>
          <w:szCs w:val="24"/>
          <w:lang w:val="en-US" w:eastAsia="zh-CN"/>
        </w:rPr>
        <w:t>解除</w:t>
      </w:r>
      <w:r>
        <w:rPr>
          <w:rFonts w:hint="eastAsia" w:ascii="仿宋" w:hAnsi="仿宋" w:eastAsia="仿宋" w:cs="仿宋"/>
          <w:b w:val="0"/>
          <w:bCs w:val="0"/>
          <w:kern w:val="0"/>
          <w:sz w:val="24"/>
          <w:szCs w:val="24"/>
          <w:lang w:val="en-US" w:eastAsia="zh-CN"/>
        </w:rPr>
        <w:t>采购合同</w:t>
      </w:r>
      <w:r>
        <w:rPr>
          <w:rFonts w:hint="default" w:ascii="仿宋" w:hAnsi="仿宋" w:eastAsia="仿宋" w:cs="仿宋"/>
          <w:b w:val="0"/>
          <w:bCs w:val="0"/>
          <w:kern w:val="0"/>
          <w:sz w:val="24"/>
          <w:szCs w:val="24"/>
          <w:lang w:val="en-US" w:eastAsia="zh-CN"/>
        </w:rPr>
        <w:t>。</w:t>
      </w:r>
    </w:p>
    <w:p w14:paraId="61CB7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（六）配送医用耗材质量保证</w:t>
      </w:r>
    </w:p>
    <w:p w14:paraId="7AE195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（1）成交供应商须</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原厂生产的未曾使用过的、全新的合格的货品（含配套配件等），表面无划伤、无破损痕迹，且权属清楚，不得侵害他人的合法权利。</w:t>
      </w:r>
    </w:p>
    <w:p w14:paraId="4900B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（2）成交供应商所</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须符合或优于国家（行业）标准、本项目竞选文件要求及响应文件响应内容。当响应文件响应内容与竞选文件要求不一致时，以文件响应内容为准。当响应文件响应内容与国家标准、行业标准（若有）不一致时，以较高标准为准。</w:t>
      </w:r>
    </w:p>
    <w:p w14:paraId="208519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（3）成交供应商</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b w:val="0"/>
          <w:bCs w:val="0"/>
          <w:kern w:val="0"/>
          <w:sz w:val="24"/>
          <w:szCs w:val="24"/>
          <w:lang w:val="en-US" w:eastAsia="zh-Hans"/>
        </w:rPr>
        <w:t>还应</w:t>
      </w:r>
      <w:r>
        <w:rPr>
          <w:rFonts w:hint="eastAsia" w:ascii="仿宋" w:hAnsi="仿宋" w:eastAsia="仿宋" w:cs="仿宋"/>
          <w:b w:val="0"/>
          <w:bCs w:val="0"/>
          <w:kern w:val="0"/>
          <w:sz w:val="24"/>
          <w:szCs w:val="24"/>
          <w:lang w:val="en-US" w:eastAsia="zh-CN"/>
        </w:rPr>
        <w:t>负责赔偿采购人由此而遭受的全部损失。</w:t>
      </w:r>
    </w:p>
    <w:p w14:paraId="1A24F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（4）成交供应商保证其</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货品的安全可靠性。在正常使用下不应对使用者造成任何人身伤害，如因产品质量或</w:t>
      </w:r>
      <w:r>
        <w:rPr>
          <w:rFonts w:hint="default" w:ascii="仿宋" w:hAnsi="仿宋" w:eastAsia="仿宋" w:cs="仿宋"/>
          <w:b w:val="0"/>
          <w:bCs w:val="0"/>
          <w:kern w:val="0"/>
          <w:sz w:val="24"/>
          <w:szCs w:val="24"/>
          <w:lang w:val="en-US" w:eastAsia="zh-CN"/>
        </w:rPr>
        <w:t>标识</w:t>
      </w:r>
      <w:r>
        <w:rPr>
          <w:rFonts w:hint="eastAsia" w:ascii="仿宋" w:hAnsi="仿宋" w:eastAsia="仿宋" w:cs="仿宋"/>
          <w:b w:val="0"/>
          <w:bCs w:val="0"/>
          <w:kern w:val="0"/>
          <w:sz w:val="24"/>
          <w:szCs w:val="24"/>
          <w:lang w:val="en-US" w:eastAsia="zh-CN"/>
        </w:rPr>
        <w:t>不明确而对使用者造成损失的，由成交供应商承担相应责任。</w:t>
      </w:r>
    </w:p>
    <w:p w14:paraId="5FF682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99AE6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（6）成交供应商保证所供耗材有效期不低于1年，自通过最终验收之日起，确保采购人在使用耗材的过程中安全、有效。</w:t>
      </w:r>
    </w:p>
    <w:p w14:paraId="4D229B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（七）包装和运输</w:t>
      </w:r>
    </w:p>
    <w:p w14:paraId="0F1504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1.成交供应商须严格按照《商品包装政府采购需求标准(试行)》《快递包装政府采购需求标准(试行)》(财办库〔2020〕123 号)的要求进行产品及相关快递服务的包装。 </w:t>
      </w:r>
    </w:p>
    <w:p w14:paraId="21F570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12043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3.本次采购的标的物需要运输，成交供应商在合同约定的时间内将标的物运输至合同约定地点。</w:t>
      </w:r>
    </w:p>
    <w:p w14:paraId="49D9A7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p>
    <w:p w14:paraId="779433B7">
      <w:pPr>
        <w:pStyle w:val="5"/>
        <w:spacing w:line="240" w:lineRule="auto"/>
        <w:jc w:val="left"/>
        <w:outlineLvl w:val="1"/>
        <w:rPr>
          <w:rFonts w:hint="eastAsia" w:ascii="仿宋" w:hAnsi="仿宋" w:eastAsia="仿宋" w:cs="仿宋"/>
        </w:rPr>
      </w:pPr>
      <w:r>
        <w:rPr>
          <w:rFonts w:hint="eastAsia" w:ascii="仿宋" w:hAnsi="仿宋" w:eastAsia="仿宋" w:cs="仿宋"/>
          <w:b/>
          <w:sz w:val="28"/>
        </w:rPr>
        <w:t>3.</w:t>
      </w:r>
      <w:r>
        <w:rPr>
          <w:rFonts w:hint="eastAsia" w:ascii="仿宋" w:hAnsi="仿宋" w:eastAsia="仿宋" w:cs="仿宋"/>
          <w:b/>
          <w:sz w:val="28"/>
          <w:lang w:val="en-US" w:eastAsia="zh-CN"/>
        </w:rPr>
        <w:t>4</w:t>
      </w:r>
      <w:r>
        <w:rPr>
          <w:rFonts w:hint="eastAsia" w:ascii="仿宋" w:hAnsi="仿宋" w:eastAsia="仿宋" w:cs="仿宋"/>
          <w:b/>
          <w:sz w:val="28"/>
        </w:rPr>
        <w:t>.其他要求</w:t>
      </w:r>
    </w:p>
    <w:p w14:paraId="13758BE0">
      <w:pPr>
        <w:pStyle w:val="5"/>
        <w:spacing w:line="360" w:lineRule="auto"/>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52ACA7CE">
      <w:pPr>
        <w:pStyle w:val="5"/>
        <w:spacing w:line="360" w:lineRule="auto"/>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5FB77A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w:t>
      </w:r>
      <w:r>
        <w:rPr>
          <w:rFonts w:hint="default" w:ascii="仿宋" w:hAnsi="仿宋" w:eastAsia="仿宋" w:cs="仿宋"/>
          <w:b w:val="0"/>
          <w:bCs w:val="0"/>
          <w:kern w:val="0"/>
          <w:sz w:val="24"/>
          <w:szCs w:val="24"/>
          <w:lang w:val="en-US" w:eastAsia="zh-CN"/>
        </w:rPr>
        <w:t>逾期15日内不能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采购人所需医用耗材的，应向采购人每日支付该批次货款千分之三的违约金。</w:t>
      </w:r>
    </w:p>
    <w:p w14:paraId="555E6E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w:t>
      </w:r>
      <w:r>
        <w:rPr>
          <w:rFonts w:hint="default" w:ascii="仿宋" w:hAnsi="仿宋" w:eastAsia="仿宋" w:cs="仿宋"/>
          <w:b w:val="0"/>
          <w:bCs w:val="0"/>
          <w:kern w:val="0"/>
          <w:sz w:val="24"/>
          <w:szCs w:val="24"/>
          <w:lang w:val="en-US" w:eastAsia="zh-CN"/>
        </w:rPr>
        <w:t>逾期15日及以上不能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以上产品的，视同不能供货，须向采购人支付该批次货款的10%的违约金，同时采购人可以单方面解除采购合同。</w:t>
      </w:r>
    </w:p>
    <w:p w14:paraId="7A948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原因造成采购人被监管部门通报三次及以上的或者造成采购人违规采购，采购人有权单方面解除采购合同。同时，采购人有权要求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w:t>
      </w:r>
    </w:p>
    <w:p w14:paraId="7BFA3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（4）成交供应商配送</w:t>
      </w:r>
      <w:r>
        <w:rPr>
          <w:rFonts w:hint="default" w:ascii="仿宋" w:hAnsi="仿宋" w:eastAsia="仿宋" w:cs="仿宋"/>
          <w:b w:val="0"/>
          <w:bCs w:val="0"/>
          <w:kern w:val="0"/>
          <w:sz w:val="24"/>
          <w:szCs w:val="24"/>
          <w:lang w:val="en-US" w:eastAsia="zh-CN"/>
        </w:rPr>
        <w:t>的产品若发生严重医疗不良事件或被国家法定检测机构检测为不合格产品，视为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违约导致不能实现采购合同目的，采购人有权单方面解除采购合同，并要求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限期收回不合格产品，并要求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需承担合同价款20%的违约金，违约金不足以弥补采购人损失的，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还应当</w:t>
      </w:r>
      <w:r>
        <w:rPr>
          <w:rFonts w:hint="eastAsia" w:ascii="仿宋" w:hAnsi="仿宋" w:eastAsia="仿宋" w:cs="仿宋"/>
          <w:b w:val="0"/>
          <w:bCs w:val="0"/>
          <w:kern w:val="0"/>
          <w:sz w:val="24"/>
          <w:szCs w:val="24"/>
          <w:lang w:val="en-US" w:eastAsia="zh-CN"/>
        </w:rPr>
        <w:t>承担</w:t>
      </w:r>
      <w:r>
        <w:rPr>
          <w:rFonts w:hint="default" w:ascii="仿宋" w:hAnsi="仿宋" w:eastAsia="仿宋" w:cs="仿宋"/>
          <w:b w:val="0"/>
          <w:bCs w:val="0"/>
          <w:kern w:val="0"/>
          <w:sz w:val="24"/>
          <w:szCs w:val="24"/>
          <w:lang w:val="en-US" w:eastAsia="zh-CN"/>
        </w:rPr>
        <w:t>补足。即使产品已经验收入库（或安装调试完毕）后，采购人才发现产品为不合格产品的，也视为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应当承担本条约定的责任。同时采购人有权退回库存产品。</w:t>
      </w:r>
    </w:p>
    <w:p w14:paraId="63785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w:t>
      </w:r>
      <w:r>
        <w:rPr>
          <w:rFonts w:hint="default" w:ascii="仿宋" w:hAnsi="仿宋" w:eastAsia="仿宋" w:cs="仿宋"/>
          <w:b w:val="0"/>
          <w:bCs w:val="0"/>
          <w:kern w:val="0"/>
          <w:sz w:val="24"/>
          <w:szCs w:val="24"/>
          <w:lang w:val="en-US" w:eastAsia="zh-CN"/>
        </w:rPr>
        <w:t>若根据法律规定或本协议约定产生采购人退、换货或拒绝收货情形，由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承担退换货产生的各项税、费或其他支出。</w:t>
      </w:r>
    </w:p>
    <w:p w14:paraId="7C582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w:t>
      </w:r>
      <w:r>
        <w:rPr>
          <w:rFonts w:hint="default" w:ascii="仿宋" w:hAnsi="仿宋" w:eastAsia="仿宋" w:cs="仿宋"/>
          <w:b w:val="0"/>
          <w:bCs w:val="0"/>
          <w:kern w:val="0"/>
          <w:sz w:val="24"/>
          <w:szCs w:val="24"/>
          <w:lang w:val="en-US" w:eastAsia="zh-CN"/>
        </w:rPr>
        <w:t>不能保证及时供货，除应当向采购人承担违约责任外，采购人仍有权单方面解除采购合同。</w:t>
      </w:r>
    </w:p>
    <w:p w14:paraId="68D68F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（7）</w:t>
      </w:r>
      <w:r>
        <w:rPr>
          <w:rFonts w:hint="default" w:ascii="仿宋" w:hAnsi="仿宋" w:eastAsia="仿宋" w:cs="仿宋"/>
          <w:b w:val="0"/>
          <w:bCs w:val="0"/>
          <w:kern w:val="0"/>
          <w:sz w:val="24"/>
          <w:szCs w:val="24"/>
          <w:lang w:val="en-US" w:eastAsia="zh-CN"/>
        </w:rPr>
        <w:t>因</w:t>
      </w:r>
      <w:r>
        <w:rPr>
          <w:rFonts w:hint="eastAsia" w:ascii="仿宋" w:hAnsi="仿宋" w:eastAsia="仿宋" w:cs="仿宋"/>
          <w:b w:val="0"/>
          <w:bCs w:val="0"/>
          <w:kern w:val="0"/>
          <w:sz w:val="24"/>
          <w:szCs w:val="24"/>
          <w:lang w:val="en-US" w:eastAsia="zh-CN"/>
        </w:rPr>
        <w:t>成交供应商配送</w:t>
      </w:r>
      <w:r>
        <w:rPr>
          <w:rFonts w:hint="default" w:ascii="仿宋" w:hAnsi="仿宋" w:eastAsia="仿宋" w:cs="仿宋"/>
          <w:b w:val="0"/>
          <w:bCs w:val="0"/>
          <w:kern w:val="0"/>
          <w:sz w:val="24"/>
          <w:szCs w:val="24"/>
          <w:lang w:val="en-US" w:eastAsia="zh-CN"/>
        </w:rPr>
        <w:t>的产品不合格造成采购人或第三人人身损害或财产损失的，由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承担赔偿责任。</w:t>
      </w:r>
    </w:p>
    <w:p w14:paraId="51D5AB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（8）</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原因造成采购人挂网执行存在问题以及线上支付不及时、造成采购人未挂网采购的或者存在其他问题的，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应承担违约责任，且采购人有权要求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支付该批货物价款20%的违约金，采购人有权单方面解除合同。</w:t>
      </w:r>
    </w:p>
    <w:p w14:paraId="12E343C6">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1.2解决合同纠纷的方式</w:t>
      </w:r>
    </w:p>
    <w:p w14:paraId="5E66BC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w:t>
      </w:r>
    </w:p>
    <w:p w14:paraId="3BB2BC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合同履行期间，若双方发生争议，可协商或由有关部门调解解决，协商或调解不成的，可向采购人所在地人民法院依法提起诉讼。</w:t>
      </w:r>
    </w:p>
    <w:p w14:paraId="579875AF">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2.合同</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1</w:t>
      </w:r>
      <w:r>
        <w:rPr>
          <w:rFonts w:hint="eastAsia" w:ascii="Times New Roman" w:hAnsi="Times New Roman" w:eastAsia="仿宋" w:cs="Times New Roman"/>
          <w:color w:val="auto"/>
          <w:sz w:val="24"/>
          <w:szCs w:val="24"/>
          <w:highlight w:val="none"/>
          <w:shd w:val="clear" w:color="auto" w:fill="auto"/>
          <w:lang w:val="en-US" w:eastAsia="zh-CN"/>
        </w:rPr>
        <w:t>年。</w:t>
      </w:r>
    </w:p>
    <w:p w14:paraId="624C1507">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3.合同支付约定：</w:t>
      </w:r>
      <w:r>
        <w:rPr>
          <w:rFonts w:hint="eastAsia" w:ascii="仿宋" w:hAnsi="仿宋" w:eastAsia="仿宋" w:cs="仿宋"/>
          <w:color w:val="000000"/>
          <w:kern w:val="0"/>
          <w:sz w:val="24"/>
          <w:szCs w:val="24"/>
          <w:u w:val="none"/>
          <w:lang w:val="en-US" w:eastAsia="zh-CN" w:bidi="ar"/>
        </w:rPr>
        <w:t>双方同意以甲方财务制度规定的付款时间及付款要求进行结算，乙方已完全了解并清楚甲方的财务制度，乙方对甲方财务制度规定的付款要求及付款时间不持异议。</w:t>
      </w:r>
    </w:p>
    <w:p w14:paraId="088FEA70">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62DDFAEF">
      <w:pPr>
        <w:pStyle w:val="5"/>
        <w:spacing w:line="312" w:lineRule="auto"/>
        <w:ind w:firstLine="480"/>
        <w:jc w:val="left"/>
        <w:rPr>
          <w:rFonts w:hint="default"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p>
    <w:p w14:paraId="28CCA008">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6.技术履约验收内容：</w:t>
      </w:r>
      <w:r>
        <w:rPr>
          <w:rFonts w:hint="eastAsia" w:ascii="仿宋" w:hAnsi="仿宋" w:eastAsia="仿宋" w:cs="仿宋"/>
          <w:b w:val="0"/>
          <w:bCs w:val="0"/>
          <w:sz w:val="24"/>
          <w:szCs w:val="24"/>
          <w:lang w:val="en-US" w:eastAsia="zh-CN"/>
        </w:rPr>
        <w:t>采购人按照本项目技术要求进行验收。</w:t>
      </w:r>
    </w:p>
    <w:p w14:paraId="1EADC8FD">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7.商务履约验收内容：</w:t>
      </w:r>
      <w:r>
        <w:rPr>
          <w:rFonts w:hint="eastAsia" w:ascii="仿宋" w:hAnsi="仿宋" w:eastAsia="仿宋" w:cs="仿宋"/>
          <w:b w:val="0"/>
          <w:bCs w:val="0"/>
          <w:sz w:val="24"/>
          <w:szCs w:val="24"/>
          <w:lang w:val="en-US" w:eastAsia="zh-CN"/>
        </w:rPr>
        <w:t>采购人按照本项目商务要求进行验收。</w:t>
      </w:r>
    </w:p>
    <w:p w14:paraId="10F9AEDE">
      <w:pPr>
        <w:ind w:firstLine="482" w:firstLineChars="200"/>
      </w:pPr>
      <w:bookmarkStart w:id="0" w:name="_GoBack"/>
      <w:bookmarkEnd w:id="0"/>
      <w:r>
        <w:rPr>
          <w:rFonts w:hint="eastAsia" w:ascii="仿宋" w:hAnsi="仿宋" w:eastAsia="仿宋" w:cs="仿宋"/>
          <w:b/>
          <w:bCs/>
          <w:sz w:val="24"/>
          <w:szCs w:val="24"/>
          <w:lang w:val="en-US" w:eastAsia="zh-CN"/>
        </w:rPr>
        <w:t>8.履约验收标准：</w:t>
      </w:r>
      <w:r>
        <w:rPr>
          <w:rFonts w:hint="eastAsia" w:ascii="仿宋" w:hAnsi="仿宋" w:eastAsia="仿宋" w:cs="仿宋"/>
          <w:b w:val="0"/>
          <w:bCs w:val="0"/>
          <w:sz w:val="24"/>
          <w:szCs w:val="24"/>
          <w:lang w:val="en-US" w:eastAsia="zh-CN"/>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9903A"/>
    <w:multiLevelType w:val="singleLevel"/>
    <w:tmpl w:val="995990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97D30"/>
    <w:rsid w:val="12613EB2"/>
    <w:rsid w:val="30515682"/>
    <w:rsid w:val="53867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 w:type="character" w:customStyle="1" w:styleId="6">
    <w:name w:val="font31"/>
    <w:basedOn w:val="4"/>
    <w:qFormat/>
    <w:uiPriority w:val="0"/>
    <w:rPr>
      <w:rFonts w:hint="default" w:ascii="Times New Roman" w:hAnsi="Times New Roman" w:cs="Times New Roman"/>
      <w:color w:val="000000"/>
      <w:sz w:val="22"/>
      <w:szCs w:val="22"/>
      <w:u w:val="none"/>
    </w:rPr>
  </w:style>
  <w:style w:type="character" w:customStyle="1" w:styleId="7">
    <w:name w:val="font21"/>
    <w:basedOn w:val="4"/>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2026-08-20T08:00:01Z</dcterms:created>
  <dc:creator>Administrator</dc:creator>
  <cp:lastModifiedBy>小鱼儿</cp:lastModifiedBy>
  <dcterms:modified xsi:type="dcterms:W3CDTF">2026-08-20T08:00:06Z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eyJoZGlkIjoiOTBmMjQxZDZmNWJlYmNlNmRlNTQ2ZDgxODI1YWI3YTIiLCJ1c2VySWQiOiI5NzExMDY4NjMifQ==</vt:lpwstr>
  </property>
  <property fmtid="{D5CDD505-2E9C-101B-9397-08002B2CF9AE}" pid="4" name="ICV">
    <vt:lpwstr>13D4DBEFB2814DF6AEF77D4046ECBDFF_12</vt:lpwstr>
  </property>
</Properties>
</file>